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bookmarkStart w:id="0" w:name="_GoBack"/>
      <w:r>
        <w:rPr>
          <w:rFonts w:hint="default" w:ascii="Times New Roman" w:hAnsi="Times New Roman" w:eastAsia="方正小标宋_GBK" w:cs="Times New Roman"/>
          <w:sz w:val="44"/>
          <w:szCs w:val="44"/>
          <w:lang w:val="en-US" w:eastAsia="zh-CN"/>
        </w:rPr>
        <w:t>元江哈尼族彝族傣族自治县甘庄中心卫生院2026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部门</w:t>
      </w:r>
      <w:r>
        <w:rPr>
          <w:rFonts w:hint="default" w:ascii="Times New Roman" w:hAnsi="Times New Roman" w:eastAsia="方正小标宋_GBK" w:cs="Times New Roman"/>
          <w:sz w:val="44"/>
          <w:szCs w:val="44"/>
          <w:lang w:val="en-US" w:eastAsia="zh-CN"/>
        </w:rPr>
        <w:t>预算重点领域财政项目文本</w:t>
      </w:r>
    </w:p>
    <w:p w14:paraId="5D9FB2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6B63EA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eastAsia="zh-CN"/>
        </w:rPr>
        <w:t>项目名称</w:t>
      </w:r>
    </w:p>
    <w:p w14:paraId="39F05D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死亡抚恤金及丧葬费经费</w:t>
      </w:r>
      <w:r>
        <w:rPr>
          <w:rFonts w:hint="default" w:ascii="Times New Roman" w:hAnsi="Times New Roman" w:eastAsia="方正仿宋_GBK" w:cs="Times New Roman"/>
          <w:sz w:val="32"/>
          <w:szCs w:val="32"/>
          <w:lang w:eastAsia="zh-CN"/>
        </w:rPr>
        <w:t>。</w:t>
      </w:r>
    </w:p>
    <w:p w14:paraId="5EF55B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二、立项依据</w:t>
      </w:r>
    </w:p>
    <w:p w14:paraId="7673AD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根据（云人〔2008〕30号）和（云人工〔1996〕38号）文件精神，现追加我单位退休人员一次性抚恤金及丧葬费。</w:t>
      </w:r>
    </w:p>
    <w:p w14:paraId="11FB53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三、项目实施单位</w:t>
      </w:r>
    </w:p>
    <w:p w14:paraId="2DAAD8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元江哈尼彝族傣族自治县甘庄中心卫生院</w:t>
      </w:r>
      <w:r>
        <w:rPr>
          <w:rFonts w:hint="default" w:ascii="Times New Roman" w:hAnsi="Times New Roman" w:eastAsia="方正仿宋_GBK" w:cs="Times New Roman"/>
          <w:sz w:val="32"/>
          <w:szCs w:val="32"/>
          <w:lang w:eastAsia="zh-CN"/>
        </w:rPr>
        <w:t>。</w:t>
      </w:r>
    </w:p>
    <w:p w14:paraId="21B1CA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四、项目基本概况</w:t>
      </w:r>
    </w:p>
    <w:p w14:paraId="7F575E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针对单位退休人员的死亡抚恤金及丧葬费发放需求设立，属于单位履行人道关怀义务、落实国家抚恤政策的重要财政支出事项。项目资金专项用于支付退休人员去世后的一次性抚恤金及丧葬费用，保障逝者家属合法权益，体现单位对退休职工的尊重与关怀。</w:t>
      </w:r>
    </w:p>
    <w:p w14:paraId="5F8BC9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五、项目实施内容</w:t>
      </w:r>
    </w:p>
    <w:p w14:paraId="7FEDAB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政策宣传与信息收集。单位人事部门负责向全体退休人员及其家属宣传死亡抚恤金及丧葬费相关政策规定，明确申领条件、标准及所需材料。建立退休人员信息动态管理机制，及时掌握退休人员健康状况变动情况，确保抚恤待遇发放工作及时启动。</w:t>
      </w:r>
    </w:p>
    <w:p w14:paraId="15410C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是资格审核与材料受理。退休人员去世后，由家属向单位提出书面申请，提交死亡证明、户籍注销证明、与逝者关系证明等相关材料。单位人事部门在5个工作日内完成材料初审，核实逝者身份、退休时间、死亡原因等基本信息，确认是否符合抚恤金及丧葬费发放条件。</w:t>
      </w:r>
    </w:p>
    <w:p w14:paraId="5F032F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是待遇核算与审批程序。依据云人〔2008〕30号和云人工〔1996〕38号文件规定的标准，核算一次性抚恤金金额及丧葬费数额。抚恤金按逝者生前最后一个月基本离退休费乘以相应计发月数确定，丧葬费按全省统一标准执行。核算结果经单位负责人审核后，报主管部门及财政部门审批备案。</w:t>
      </w:r>
    </w:p>
    <w:p w14:paraId="3B2A6B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是资金拨付与发放管理。审批通过后，财务部门在10个工作日内将抚恤金及丧葬费一次性拨付至逝者家属指定账户。发放过程严格执行财政国库集中支付制度，确保资金安全、及时、足额到位。同时建立发放台账，完整记录发放对象、金额、时间等信息，做到有据可查。</w:t>
      </w:r>
    </w:p>
    <w:p w14:paraId="6C4E45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是档案管理与后续服务。及时整理归档申领材料、审批文件、发放凭证等资料，纳入单位人事档案专项管理。主动了解家属困难需求，协助办理养老保险个人账户余额继承、医保个人账户清算等关联事项，做好政策解释和心理疏导工作。</w:t>
      </w:r>
    </w:p>
    <w:p w14:paraId="0811C1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六、资金安排情况</w:t>
      </w:r>
    </w:p>
    <w:p w14:paraId="22170C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所需资金纳入年度部门预算统筹安排55,224.40元，严格按照《行政单位财务规则》《事业单位财务规则》及相关专项资金管理规定执行。抚恤金及丧葬费支出根据实际发生人数据实列支，实行"先审批、后支付"的资金管控机制，确保专款专用、规范透明。</w:t>
      </w:r>
    </w:p>
    <w:p w14:paraId="05FE3D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资金来源主要包括财政拨款收入及单位按规定统筹使用的其他资金。其中，财政拨款部分依据上年度实际支出情况及本年度人员变动预测进行测算，按程序申报纳入财政预算；其他资金部分由单位在年度预算总额内合理调剂安排，优先保障抚恤丧葬待遇及时兑现。</w:t>
      </w:r>
    </w:p>
    <w:p w14:paraId="33702C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七、项目实施计划</w:t>
      </w:r>
    </w:p>
    <w:p w14:paraId="3AB7E6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实施周期为2026年1月至12月，分三个阶段推进。第一阶段为政策完善与准备阶段（1-2月），梳理现行抚恤丧葬政策执行中的堵点难点，修订内部操作规程，明确各环节责任分工和办理时限，确保准确掌握最新政策规定和系统操作流程。第二阶段为常态化实施阶段（3-11月），按照"即时受理、限时办结"原则，对符合条件的申请随到随审，抚恤金及丧葬费在审批完成后10个工作日内发放到位。同步建立月度台账登记制度，动态跟踪资金执行进度和待遇落实情况。第三阶段为总结评估阶段（12月），全面汇总全年业务数据，分析待遇发放及时率、群众满意度等核心指标，形成年度执行报告，针对发现问题提出优化措施，为下一年度预算编制和政策调整提供依据。项目实施过程中，严格执行信息公开要求，主动接受审计监督和社会监督，确保权力规范运行。</w:t>
      </w:r>
    </w:p>
    <w:p w14:paraId="030A60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八、项目实施成效</w:t>
      </w:r>
    </w:p>
    <w:p w14:paraId="738D67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实施后，预计将取得显著的社会效益和管理效益。在保障效能方面，通过流程再造和时限压缩，抚恤金及丧葬费发放周期较现行模式缩短40%以上，有效缓解遗属家庭经济压力，体现党和政府对优抚对象的关怀温度。在服务质量方面，"一站式"受理和"限时办结"机制大幅减少群众跑腿次数，配合主动告知和帮办代办服务，群众满意度有望提升至95%以上。在管理精细化方面，月度台账和动态监测机制实现资金全流程可追溯，为预算执行监控提供实时数据支撑，资金使用效益明显提高。在风险防控方面，标准化操作规程和信息公开机制有效堵塞制度漏洞，审计和社会监督双轨并行，确保待遇审核发放公平公正，杜绝违规违纪问题发生。此外，年度总结评估形成的经验做法和数据积累，将为完善抚恤保障政策体系、优化财政支出结构提供决策参考，推动形成"政策完善—高效执行—反馈优化"的良性循环机制。</w:t>
      </w:r>
    </w:p>
    <w:bookmarkEnd w:id="0"/>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11EA92">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11EA92">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606B1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A606B1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YThmNDQwZDkwY2Y2MTlkMzNhZjg2YTU2ZDA0YzY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BF47ECA"/>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5F3E4D"/>
    <w:rsid w:val="70F16392"/>
    <w:rsid w:val="72866B6B"/>
    <w:rsid w:val="731D5B13"/>
    <w:rsid w:val="746A3800"/>
    <w:rsid w:val="746C44C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1805</Words>
  <Characters>1848</Characters>
  <Lines>1</Lines>
  <Paragraphs>1</Paragraphs>
  <TotalTime>12</TotalTime>
  <ScaleCrop>false</ScaleCrop>
  <LinksUpToDate>false</LinksUpToDate>
  <CharactersWithSpaces>1848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搭戏</cp:lastModifiedBy>
  <cp:lastPrinted>2021-01-14T08:48:00Z</cp:lastPrinted>
  <dcterms:modified xsi:type="dcterms:W3CDTF">2026-03-11T03:22:22Z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4B3C707FDBC94617AB84BF169CA762F2_13</vt:lpwstr>
  </property>
  <property fmtid="{D5CDD505-2E9C-101B-9397-08002B2CF9AE}" pid="4" name="KSOTemplateDocerSaveRecord">
    <vt:lpwstr>eyJoZGlkIjoiNzdkMDE3Nzg0MTE2MTM0MjcxMDQ4MzhmNWQwZWQxZTciLCJ1c2VySWQiOiI0MTY1NjgxMDAifQ==</vt:lpwstr>
  </property>
</Properties>
</file>