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建设工程规划许可（县级权限）</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【000115133005】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rPr>
      </w:pPr>
      <w:r>
        <w:rPr>
          <w:rFonts w:hint="eastAsia" w:ascii="黑体" w:hAnsi="黑体" w:eastAsia="黑体" w:cs="黑体"/>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建设工程、临时建设工程规划许可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00011513300Y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建设工程规划许可（县级权限）【000115133005】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（1）建设工程规划许可办理(00011513300501)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（2）建设工程规划许可变更(00011513300502)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（3）建设工程规划许可延期(00011513300503)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（4）建设工程规划许可注销(00011513300504)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（2）</w:t>
      </w: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《中华人民共和国城乡规划法》第四十四条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w:t>
      </w:r>
      <w:r>
        <w:rPr>
          <w:rFonts w:hint="eastAsia" w:ascii="仿宋_GB2312" w:hAnsi="仿宋_GB2312" w:eastAsia="仿宋_GB2312" w:cs="仿宋_GB2312"/>
          <w:strike w:val="0"/>
          <w:dstrike w:val="0"/>
          <w:sz w:val="32"/>
          <w:szCs w:val="32"/>
          <w:lang w:val="en-US" w:eastAsia="zh-CN"/>
        </w:rPr>
        <w:t>中华人民共和国</w:t>
      </w:r>
      <w:r>
        <w:rPr>
          <w:rFonts w:hint="eastAsia" w:ascii="仿宋_GB2312" w:hAnsi="仿宋_GB2312" w:eastAsia="仿宋_GB2312" w:cs="仿宋_GB2312"/>
          <w:b w:val="0"/>
          <w:bCs w:val="0"/>
          <w:strike w:val="0"/>
          <w:dstrike w:val="0"/>
          <w:color w:val="auto"/>
          <w:sz w:val="32"/>
          <w:szCs w:val="32"/>
          <w:lang w:val="en-US" w:eastAsia="zh-CN"/>
        </w:rPr>
        <w:t>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w:t>
      </w:r>
      <w:r>
        <w:rPr>
          <w:rFonts w:hint="eastAsia" w:ascii="仿宋_GB2312" w:hAnsi="仿宋_GB2312" w:eastAsia="仿宋_GB2312" w:cs="仿宋_GB2312"/>
          <w:strike w:val="0"/>
          <w:dstrike w:val="0"/>
          <w:sz w:val="32"/>
          <w:szCs w:val="32"/>
          <w:lang w:val="en-US" w:eastAsia="zh-CN"/>
        </w:rPr>
        <w:t>中华人民共和国</w:t>
      </w:r>
      <w:r>
        <w:rPr>
          <w:rFonts w:hint="eastAsia" w:ascii="仿宋_GB2312" w:hAnsi="仿宋_GB2312" w:eastAsia="仿宋_GB2312" w:cs="仿宋_GB2312"/>
          <w:b w:val="0"/>
          <w:bCs w:val="0"/>
          <w:strike w:val="0"/>
          <w:dstrike w:val="0"/>
          <w:color w:val="auto"/>
          <w:sz w:val="32"/>
          <w:szCs w:val="32"/>
          <w:lang w:val="en-US" w:eastAsia="zh-CN"/>
        </w:rPr>
        <w:t>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（7）《中共中央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（3）《中华人民共和国城乡规划法》第六十四条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县级自然资源部门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无对应政务服务事项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拟建设项目经有关部门批准、核准、备案；（2）取得使用土地的有关证明文件；（3）建设工程设计方案应符合国土空间详细规划（控制性详细规划）、规划条件，符合当地城市空间形态和风貌管理的相关要求；（4）建设工程设计方案经自然资源主管部门审定，需要编制修建性详细规划的，还应提交修建性详细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城市、县人民政府城乡规划主管部门或者省、自治区、直辖市人民政府确定的镇人民政府应当依法将经审定的修建性详细规划、建设工程设计方案的总平面图予以公布。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自然人,企业法人,事业单位法人,社会组织法人,非法人企业,行政机关,其他组织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建设工程规划许可证前，应将建设工程设计方案的总平面图予以批前公示。经依法审定的建设工程设计方案的总平面图不得随意修改，确需修改的，应当采取听证会等形式，听取利害关系人的意见。地方自然资源主管部门应明确公示、听证要求，保障群众知情权，切实维护利害关系人利益。按照《自然资源领域基层政务公开标准指引》规定，作出许可决定7个工作日内，将建设工程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规划核实。进一步规范核实标准，自然资源主管部门依据建设单位提交的规划竣工实测报告，严格核实项目建设是否符合规划条件、建设工程规划许可要求，明确规划验收意见。推动自然资源主管部门负责的规划核实、土地核验、不动产测绘等合并为一个验收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建设工程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建设工程规划许可证申请表；（2）建设项目批准、核准、备案文件；（3）使用土地的有关证明文件，地方结合实际确定，可以是不动产权属证书、建设用地规划许可证、国有建设用地划拨决定书、国有建设用地使用权出让合同或有关部门出具的使用土地证明文件等；（4）建设工程设计方案；（5）依照规定需要编制修建性详细规划的，应当提交修建性详细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城市、县人民政府城乡规划主管部门或者省、自治区、直辖市人民政府确定的镇人民政府应当依法将经审定的修建性详细规划、建设工程设计方案的总平面图予以公布。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（3）审批机构审查。涉及需进行现场勘验、专家评审、听证、委托服务机构开展技术性服务的，按有关规定组织实施；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建设工程规划许可证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1年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default" w:ascii="仿宋_GB2312" w:hAnsi="仿宋_GB2312" w:eastAsia="仿宋_GB2312" w:cs="仿宋_GB2312"/>
          <w:b/>
          <w:bCs/>
          <w:strike w:val="0"/>
          <w:dstrike w:val="0"/>
          <w:color w:val="auto"/>
          <w:sz w:val="32"/>
          <w:szCs w:val="32"/>
          <w:lang w:val="en" w:eastAsia="zh-CN"/>
        </w:rPr>
        <w:t>:</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县级自然资源主管部门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1.地方自然资源主管部门自行制定完善规划核实、放线验线等管理规程。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支持地方在已有探索成果基础上，巩固深化用地审批与规划许可融合管理成果。深化“带方案出让”土地制度，合理确定适用项目类型，在取得土地使用权后，可直接核发建设工程规划许可证；对于符合条件的建设项目，可“一次申请、合并办理”建设用地规划许可证和建设工程规划许可证；推行告知承诺制，通过“事前承诺、事后监管”，进一步提升审批效率；</w:t>
      </w:r>
      <w:bookmarkStart w:id="0" w:name="_GoBack"/>
      <w:bookmarkEnd w:id="0"/>
      <w:r>
        <w:rPr>
          <w:rFonts w:hint="eastAsia" w:ascii="仿宋_GB2312" w:hAnsi="仿宋_GB2312" w:eastAsia="仿宋_GB2312" w:cs="仿宋_GB2312"/>
          <w:b w:val="0"/>
          <w:bCs w:val="0"/>
          <w:strike w:val="0"/>
          <w:dstrike w:val="0"/>
          <w:color w:val="auto"/>
          <w:sz w:val="32"/>
          <w:szCs w:val="32"/>
          <w:lang w:val="en-US" w:eastAsia="zh-CN"/>
        </w:rPr>
        <w:t>可结合地方管理实际制定免于许可或豁免许可清单。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2A43210"/>
    <w:rsid w:val="22A538B2"/>
    <w:rsid w:val="2A690FE4"/>
    <w:rsid w:val="45381F81"/>
    <w:rsid w:val="4A1947CF"/>
    <w:rsid w:val="5AE30C76"/>
    <w:rsid w:val="76601F15"/>
    <w:rsid w:val="B7FFA415"/>
    <w:rsid w:val="EE477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夏末央</cp:lastModifiedBy>
  <dcterms:modified xsi:type="dcterms:W3CDTF">2023-07-04T13:02:17Z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