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44"/>
          <w:szCs w:val="44"/>
          <w:lang w:eastAsia="zh-CN"/>
        </w:rPr>
        <w:t>行政许可事项实施规范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lang w:eastAsia="zh-CN"/>
        </w:rPr>
        <w:t>（基本要素）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一、行政许可事项名称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建设工程、临时建设工程规划许可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二、主管部门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玉溪市自然资源和规划局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三、实施机关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玉溪市自然资源和规划局、县级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自然资源部门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四、设定和实施依据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1.《中华人民共和国城乡规划法》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五、子项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1.建设工程规划许可（设区的市级权限）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2.临时建设工程规划许可（设区的市级权限）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3.建设工程规划许可（县级权限）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4.临时建设工程规划许可（县级权限）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9BF1D91"/>
    <w:rsid w:val="3BF7862A"/>
    <w:rsid w:val="46AD0111"/>
    <w:rsid w:val="4A1947CF"/>
    <w:rsid w:val="68DD2486"/>
    <w:rsid w:val="7E41756E"/>
    <w:rsid w:val="FEBE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user</cp:lastModifiedBy>
  <dcterms:modified xsi:type="dcterms:W3CDTF">2023-11-01T16:49:06Z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