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hAnsi="方正小标宋_GBK" w:eastAsia="方正小标宋_GBK" w:cs="方正小标宋_GBK"/>
          <w:sz w:val="44"/>
          <w:szCs w:val="44"/>
        </w:rPr>
      </w:pPr>
    </w:p>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玉溪市生态环境局元江分局双随机抽查结果公开表</w:t>
      </w:r>
      <w:r>
        <w:rPr>
          <w:rFonts w:hint="eastAsia" w:ascii="方正小标宋_GBK" w:hAnsi="方正小标宋_GBK" w:eastAsia="方正小标宋_GBK" w:cs="方正小标宋_GBK"/>
          <w:sz w:val="44"/>
          <w:szCs w:val="44"/>
          <w:lang w:val="en-US" w:eastAsia="zh-CN"/>
        </w:rPr>
        <w:t>2024年（第一</w:t>
      </w:r>
      <w:bookmarkStart w:id="0" w:name="_GoBack"/>
      <w:bookmarkEnd w:id="0"/>
      <w:r>
        <w:rPr>
          <w:rFonts w:hint="eastAsia" w:ascii="方正小标宋_GBK" w:hAnsi="方正小标宋_GBK" w:eastAsia="方正小标宋_GBK" w:cs="方正小标宋_GBK"/>
          <w:sz w:val="44"/>
          <w:szCs w:val="44"/>
          <w:lang w:val="en-US" w:eastAsia="zh-CN"/>
        </w:rPr>
        <w:t>季度）</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35"/>
        <w:gridCol w:w="1680"/>
        <w:gridCol w:w="1559"/>
        <w:gridCol w:w="1516"/>
        <w:gridCol w:w="2040"/>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37" w:type="dxa"/>
            <w:vAlign w:val="center"/>
          </w:tcPr>
          <w:p>
            <w:pPr>
              <w:jc w:val="center"/>
              <w:rPr>
                <w:rFonts w:ascii="方正小标宋_GBK" w:hAnsi="方正小标宋_GBK" w:eastAsia="方正小标宋_GBK" w:cs="方正小标宋_GBK"/>
                <w:sz w:val="24"/>
              </w:rPr>
            </w:pPr>
            <w:r>
              <w:rPr>
                <w:rFonts w:hint="eastAsia" w:ascii="仿宋_GB2312" w:hAnsi="仿宋_GB2312" w:eastAsia="仿宋_GB2312" w:cs="仿宋_GB2312"/>
                <w:sz w:val="24"/>
              </w:rPr>
              <w:t>序号</w:t>
            </w:r>
          </w:p>
        </w:tc>
        <w:tc>
          <w:tcPr>
            <w:tcW w:w="133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抽查部门</w:t>
            </w:r>
          </w:p>
        </w:tc>
        <w:tc>
          <w:tcPr>
            <w:tcW w:w="168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抽查对象</w:t>
            </w:r>
          </w:p>
        </w:tc>
        <w:tc>
          <w:tcPr>
            <w:tcW w:w="155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企业注册或统一社会信用代码</w:t>
            </w:r>
          </w:p>
        </w:tc>
        <w:tc>
          <w:tcPr>
            <w:tcW w:w="151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抽查时间</w:t>
            </w:r>
          </w:p>
        </w:tc>
        <w:tc>
          <w:tcPr>
            <w:tcW w:w="20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抽查项目及内容</w:t>
            </w:r>
          </w:p>
        </w:tc>
        <w:tc>
          <w:tcPr>
            <w:tcW w:w="540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云南省元江县金珂集团糖业有限责任公司</w:t>
            </w:r>
          </w:p>
        </w:tc>
        <w:tc>
          <w:tcPr>
            <w:tcW w:w="1559" w:type="dxa"/>
            <w:vAlign w:val="center"/>
          </w:tcPr>
          <w:p>
            <w:pPr>
              <w:keepNext w:val="0"/>
              <w:keepLines w:val="0"/>
              <w:widowControl/>
              <w:suppressLineNumbers w:val="0"/>
              <w:jc w:val="center"/>
              <w:textAlignment w:val="center"/>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91530428741480056N</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2024.2.19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1.未按新规设置危废贮存间标志牌、危废标签。 2.《突发环境事件应急预案》三年到期，未重新修编备案。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元江县恒瑞石膏建材有限公司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91530428MA6K6URB23</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 厂区内部分物料堆放无序，没有覆盖。 2、废气排放口和雨水排放口无标志牌。 3、厂区道路积灰太厚，未采取防扬尘措施。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元江县三叶经贸有限公司</w:t>
            </w:r>
          </w:p>
        </w:tc>
        <w:tc>
          <w:tcPr>
            <w:tcW w:w="1559" w:type="dxa"/>
            <w:vAlign w:val="center"/>
          </w:tcPr>
          <w:p>
            <w:pPr>
              <w:keepNext w:val="0"/>
              <w:keepLines w:val="0"/>
              <w:widowControl/>
              <w:suppressLineNumbers w:val="0"/>
              <w:jc w:val="center"/>
              <w:textAlignment w:val="center"/>
              <w:rPr>
                <w:rFonts w:hint="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91530428790260359G</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2024.1.24</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按照现行的《固定污染源排污许可分类管理名录（2019年版）》的规定，公司应申领排污许可证。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4</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元江罗槃阿卡旅游休闲度假村有限公司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91530428052245499K</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2024.3.25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1、污水处理设施风机故障停云。 2、树屋1号泡池废水水未接入污水处理系统，而是用作草地绿化用水。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元江县康达铁合金有限公司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91530428217850196R</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2024.2.19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元江县筑优商品混凝土有限公司</w:t>
            </w:r>
          </w:p>
        </w:tc>
        <w:tc>
          <w:tcPr>
            <w:tcW w:w="1559" w:type="dxa"/>
            <w:vAlign w:val="center"/>
          </w:tcPr>
          <w:p>
            <w:pPr>
              <w:keepNext w:val="0"/>
              <w:keepLines w:val="0"/>
              <w:widowControl/>
              <w:suppressLineNumbers w:val="0"/>
              <w:jc w:val="center"/>
              <w:textAlignment w:val="center"/>
              <w:rPr>
                <w:rFonts w:hint="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91530428MA6P20YJ32</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2024.2.28</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1、沉淀池污泥清掏后露天堆放在厂区东北面80米的地上，无围挡，未进行覆盖防水、防尘。 2、危险废物台账记录不全，不规范。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云南元江大有为食品有限公司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915304283230674965</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2024.3.20</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1.酸角核临时堆场露天，未建顶棚。 2.未按新规设置危废暂存间标志和危废标签。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云南康福茶业有限公司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91530428MA6KAYMQ6T</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2024.3.11</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危废标签使用不规范，几种危废混用一个标签。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元江县通力矿业有限公司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91530428MA6P9P0G9L</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2024.3.26</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1、石粉、瓜子石等石料露天堆放，未进行覆盖。 2、厂区道路运输扬尘污染突出。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云锡元江镍业有限责任公司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91530428772663306A</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2024.2.19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1、安定镍矿1号堆场废渣“三防”问题未整改完成 2、目前未上报排污许可证执行季报、年报。 3、甘庄精炼厂铁钒渣、浸出渣、污泥渣覆盖的塑料布出现破损脱落情况。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云南省玉溪市红云化工有限公司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915304287972123847</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2024.1.23</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尚未上报排污许可执行年报。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中广核玉溪元江风力发电有限公司</w:t>
            </w:r>
          </w:p>
        </w:tc>
        <w:tc>
          <w:tcPr>
            <w:tcW w:w="1559" w:type="dxa"/>
            <w:vAlign w:val="center"/>
          </w:tcPr>
          <w:p>
            <w:pPr>
              <w:keepNext w:val="0"/>
              <w:keepLines w:val="0"/>
              <w:widowControl/>
              <w:suppressLineNumbers w:val="0"/>
              <w:jc w:val="center"/>
              <w:textAlignment w:val="center"/>
              <w:rPr>
                <w:rFonts w:hint="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91530428064258297X</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2024.3.19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1、风电场S1142、S1358风机能效进行优化项目现已建设完成，未经环保验收。 2、未按新规设置危废间标志牌和危废标签。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中国石化销售股份有限公司云南玉溪元江团树加油站</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915304280913274971</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2024.3.13</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1、危废贮存设施标专和标签未按新规设置。 2、场地废气排放口未设置排放口标志牌。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14</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default" w:eastAsiaTheme="minorEastAsia"/>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元江德收养殖有限公司</w:t>
            </w:r>
          </w:p>
        </w:tc>
        <w:tc>
          <w:tcPr>
            <w:tcW w:w="1559" w:type="dxa"/>
            <w:vAlign w:val="center"/>
          </w:tcPr>
          <w:p>
            <w:pPr>
              <w:keepNext w:val="0"/>
              <w:keepLines w:val="0"/>
              <w:widowControl/>
              <w:suppressLineNumbers w:val="0"/>
              <w:jc w:val="center"/>
              <w:textAlignment w:val="center"/>
              <w:rPr>
                <w:rFonts w:hint="default"/>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91530428MA6PUYGL0M</w:t>
            </w:r>
          </w:p>
        </w:tc>
        <w:tc>
          <w:tcPr>
            <w:tcW w:w="1516"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2024.1.16</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default"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干粪出场利用未签订协议合同，未建立台账记录。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元江县恒达投资有限责任公司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91530428072457659A</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2024.3.11</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1、污水处理站一台污水处理设施消毒剂投放装置因故障未运行。 2、污泥清运未建立台账记录。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中国石化销售股份有限公司云南玉溪元江小寨子加油站</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915304287380698992</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2024.2.8</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未按照要求及时上报排污许可执行年报。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元江德辉农产品贸易有限公司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91530428MA6N0C8D97</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1、危废暂存间标志牌、危废标签未按新规更新。 2、注塑、吹瓶生产线产生需配套的1套“活性炭吸附浓缩＋RTO催化燃烧”设施和破碎除尘设施未按环评要求建成。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元江县华丰经贸有限公司（甘庄加油站）</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91530428217853346M</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2024.1.30</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1、危废标签未按新规设置，暂存间未上锁。 2、场地雨水排放口未设置排放口标志牌。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19</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云锡元江镍业有限责任公司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91530428772663306A</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2024.2.19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1、安定镍矿1号堆场废渣“三防”问题未整改完成 2、目前未上报排污许可证执行季报、年报。 3、甘庄精炼厂铁钒渣、浸出渣、污泥渣覆盖的塑料布出现破损脱落情况。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元江县瑞丰民特食品有限公司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91530428731201711W</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2024.1.18</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1、《突发环境事件应急预案》已超三年修编期，未重新修编备案。 2、未按规范设置入河排污口。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元江北控环保水务有限公司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91530400MA6KKDYP1M</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2024.2.29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１、CAST反应池污泥浓度过高，生物选择区和反应池浮泥严重。 2、CAST反应池污泥浓度计故障。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云南玖久建材有限公司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91530428MA6K65192R</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2024.1.12</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元江哈尼族彝族傣族自治县人民医院</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12530428432084359T</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2024.2.27</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1、未编制医疗废物收储工程建设项目《突发环境事件应急预案》备案。 2、未对环保设施进行有限空间辩识。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24</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元江县缪福建筑材料有限公司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91530428MA6Q28BT1L</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1、道路运输扬尘防治措施不到位。 2、成品砂仅进行部分覆盖，部分还在裸露。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玉溪市元江机动车辆安全技术检测有限公司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91530428MA6L36800L</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2024.2.4</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元江跃辉水果塑筐商贸有限公司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91530428MA6K5C6Y2N</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2024.3.25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1、注塑机未密闭，5—6号注塑机未建有集气罩，废气未接入“活性炭吸附浓缩+催化燃烧”装置处理。 2、3台烘干搅拌机未建配活性炭吸附浓缩+催化燃烧装置，只建有除尘器，且位置未与集气罩对应，废气不能吸入导管进入除尘器。 3、危废间未按新规设置标志牌、标签，无危废管理制度和台账记录。 4、《突发环境事件应急预案》未编制备案。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元江县甘庄中心卫生院</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125304284320851244</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2024.3.12</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1、危废标签未按新规设置。 2、污水处理站为地埋式，无有限空间标识及警示。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元江县因远万红酒厂</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9153042862280816XH</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2024.3.25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1、酒厂因历史原因未办总体理环保手续，故未能申领排污许可证。 2、洒厂正在建设机制木碳厂，已建成旋转烘干机等主要设施，现场检查项目环评未报批。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29</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元江晟峰燃气有限公司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91530428MA6QE1W98Ｋ</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2024.1.22</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1、未开展突发环境事件应急演练。 2、元江县晟峰液化气储配站变更为元江晟峰燃气有限公司后未进行排污许可登记变更。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元江县春晓食品有限公司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91530428MA6PCTNT9Q</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2024.1.22</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元江安盛塑业有限公司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91530428MA6NQ1A58H</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2024.3.11</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1.塑料框生产线、发泡网生产线、废塑料破碎工序未密闭，废气集气罩太小，生产废气收集处理效果差。 2.选果废水池未及时清运，水满外溢。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元江县山川矿业有限责任公司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91530428MA6KTHYJ29</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2024.2.7</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1、项目全泥氰化碳浆工艺生产线因缺乏主要原料氰化钠导致氰化车间无法正常生产，公司启用2014年建设的搅拌（浮选）工艺进行生产，搅拌（浮选）工艺环评中为淘汰工艺且未办理相关环保审批手续。 2、在公司矿区范围内，发现公司于2022年5月至今共建有至5个堆浸场；其中4个已建成并投入使用，1个正在建设中，未能提供相关环保审批手续（其中在主生产车间西北面建的2个黄金堆浸场元江分局于2022年11月对其未批先建的行为进行了处罚）。 3、该公司于2022年12月对已完成生态修复并通过验收的4号、5号堆浸场部分区域进行开挖，将挖出的尾矿用于新的堆浸场，现场未提供相关审批文件。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元江县新业工贸有限公司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91530428668288438A</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2024.1.18</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企业未提供2023年废气排放口和厂界废气监测报告查阅。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34</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元江县曼来镇中心卫生院</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125304285823559271</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2024.3.25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医疗废物暂存间里的标签未按新规范设置。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中国石油云南玉溪元江澧江加油站</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91530428757198223N</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2024.3.5</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中国石化销售股份有限公司云南玉溪元江龙潭加油站</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91530400MA6PU6C4X8</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2024.2.27</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元江县艾美洗涤服务有限公司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91530428MA6NLWHJ4E</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2024.1.16</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1、生产废水（中水）用于农灌，但未与农户签订协议。 2、废水收集管存在废水跑冒滴漏情况。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元江县红礼五金气体有限公司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915304287134800596</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2024.1.19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未按要求开展突发环境事件应急演练。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39</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元江县疾病预防控制中心</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12530428741489165G</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2024.2.26</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未发现环境问题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40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中国石化销售股份有限公司（大水平加油站）</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9153040071947133X5</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2024.1.29</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1、未设置雨水排放口标志牌。 2、危废暂存间、危废标签未按规范设置，无二维码、无内容。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41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元江民族医院</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52530428734334501K</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2024.1.24</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1、《突发环境事件应急预案》已于2024年1月满三年修编期。 2、有2人从事放射工作的人员还未取得辐射岗位培训合格证。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42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玉溪市生态环境局元江分局</w:t>
            </w:r>
          </w:p>
        </w:tc>
        <w:tc>
          <w:tcPr>
            <w:tcW w:w="1680" w:type="dxa"/>
            <w:vAlign w:val="center"/>
          </w:tcPr>
          <w:p>
            <w:pPr>
              <w:keepNext w:val="0"/>
              <w:keepLines w:val="0"/>
              <w:widowControl/>
              <w:suppressLineNumbers w:val="0"/>
              <w:jc w:val="center"/>
              <w:textAlignment w:val="bottom"/>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元江县茂元商贸有限公司</w:t>
            </w:r>
          </w:p>
        </w:tc>
        <w:tc>
          <w:tcPr>
            <w:tcW w:w="1559"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91530428MABULFMF2R</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2024.2.1</w:t>
            </w:r>
          </w:p>
        </w:tc>
        <w:tc>
          <w:tcPr>
            <w:tcW w:w="2040"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相关手续办理情况及环保设施运行情况</w:t>
            </w:r>
          </w:p>
        </w:tc>
        <w:tc>
          <w:tcPr>
            <w:tcW w:w="5407" w:type="dxa"/>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1、危废标签未粘贴。 2、污泥未作环境检测。 3、污水处理设施未作有限空间辩识。</w:t>
            </w:r>
          </w:p>
        </w:tc>
      </w:tr>
    </w:tbl>
    <w:p>
      <w:pPr>
        <w:jc w:val="both"/>
        <w:rPr>
          <w:rFonts w:hint="default" w:ascii="方正小标宋_GBK" w:hAnsi="方正小标宋_GBK" w:eastAsia="方正小标宋_GBK" w:cs="方正小标宋_GBK"/>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jFkM2YzMWIyNTZkMWFhNGU4ZWQ1NDU0NWM3NjQifQ=="/>
  </w:docVars>
  <w:rsids>
    <w:rsidRoot w:val="008049C0"/>
    <w:rsid w:val="0011089C"/>
    <w:rsid w:val="0017168A"/>
    <w:rsid w:val="00480FBF"/>
    <w:rsid w:val="0056383A"/>
    <w:rsid w:val="005D477E"/>
    <w:rsid w:val="006672A5"/>
    <w:rsid w:val="006F1742"/>
    <w:rsid w:val="008049C0"/>
    <w:rsid w:val="00873D01"/>
    <w:rsid w:val="00890A8C"/>
    <w:rsid w:val="00A40373"/>
    <w:rsid w:val="00AA2092"/>
    <w:rsid w:val="00AC7491"/>
    <w:rsid w:val="00B7576B"/>
    <w:rsid w:val="00C940A7"/>
    <w:rsid w:val="00ED1D4E"/>
    <w:rsid w:val="00F06119"/>
    <w:rsid w:val="00F70F4A"/>
    <w:rsid w:val="01F627CE"/>
    <w:rsid w:val="027D2627"/>
    <w:rsid w:val="05B023FB"/>
    <w:rsid w:val="076123FA"/>
    <w:rsid w:val="07E57C4B"/>
    <w:rsid w:val="08211D66"/>
    <w:rsid w:val="086F2820"/>
    <w:rsid w:val="08F2139A"/>
    <w:rsid w:val="0A683F95"/>
    <w:rsid w:val="0C2B238E"/>
    <w:rsid w:val="0CDD633A"/>
    <w:rsid w:val="0D500B9C"/>
    <w:rsid w:val="0F19026E"/>
    <w:rsid w:val="149C37A8"/>
    <w:rsid w:val="15620E57"/>
    <w:rsid w:val="17814E94"/>
    <w:rsid w:val="179774C5"/>
    <w:rsid w:val="187B5E0C"/>
    <w:rsid w:val="1910411F"/>
    <w:rsid w:val="1A3140FC"/>
    <w:rsid w:val="1B603BA9"/>
    <w:rsid w:val="1C753CDD"/>
    <w:rsid w:val="21587CF8"/>
    <w:rsid w:val="26926E70"/>
    <w:rsid w:val="26990456"/>
    <w:rsid w:val="270A2748"/>
    <w:rsid w:val="28F7040C"/>
    <w:rsid w:val="293C2B97"/>
    <w:rsid w:val="2B294CE9"/>
    <w:rsid w:val="2D207CC9"/>
    <w:rsid w:val="2DCF73AA"/>
    <w:rsid w:val="2E4130FD"/>
    <w:rsid w:val="2F46402F"/>
    <w:rsid w:val="33993000"/>
    <w:rsid w:val="342D6679"/>
    <w:rsid w:val="3918771A"/>
    <w:rsid w:val="3CCE4B89"/>
    <w:rsid w:val="406F1077"/>
    <w:rsid w:val="416B1956"/>
    <w:rsid w:val="45B26632"/>
    <w:rsid w:val="471037F3"/>
    <w:rsid w:val="47F467B9"/>
    <w:rsid w:val="49594744"/>
    <w:rsid w:val="4D3171DA"/>
    <w:rsid w:val="504A2F37"/>
    <w:rsid w:val="52B800DC"/>
    <w:rsid w:val="52E14764"/>
    <w:rsid w:val="53312080"/>
    <w:rsid w:val="53585C96"/>
    <w:rsid w:val="54240BAC"/>
    <w:rsid w:val="54C740EC"/>
    <w:rsid w:val="56F30D5D"/>
    <w:rsid w:val="590673C6"/>
    <w:rsid w:val="59785EF1"/>
    <w:rsid w:val="61390B63"/>
    <w:rsid w:val="61A225C1"/>
    <w:rsid w:val="646B7554"/>
    <w:rsid w:val="654A7EA4"/>
    <w:rsid w:val="657B10E0"/>
    <w:rsid w:val="65F9500D"/>
    <w:rsid w:val="66160D59"/>
    <w:rsid w:val="674D1E07"/>
    <w:rsid w:val="675A689B"/>
    <w:rsid w:val="6C994553"/>
    <w:rsid w:val="6CA4081C"/>
    <w:rsid w:val="6DFB07F2"/>
    <w:rsid w:val="739423F0"/>
    <w:rsid w:val="74D063D8"/>
    <w:rsid w:val="7B022F19"/>
    <w:rsid w:val="7B7F434E"/>
    <w:rsid w:val="7D70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2287</Words>
  <Characters>2931</Characters>
  <Lines>32</Lines>
  <Paragraphs>9</Paragraphs>
  <TotalTime>2</TotalTime>
  <ScaleCrop>false</ScaleCrop>
  <LinksUpToDate>false</LinksUpToDate>
  <CharactersWithSpaces>2948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2020-03-30T07:51:00Z</dcterms:created>
  <dc:creator>dell</dc:creator>
  <cp:lastModifiedBy>陈瑞</cp:lastModifiedBy>
  <cp:lastPrinted>2024-03-25T02:08:00Z</cp:lastPrinted>
  <dcterms:modified xsi:type="dcterms:W3CDTF">2024-12-31T09:12:28Z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699164833_btnclosed</vt:lpwstr>
  </property>
  <property fmtid="{D5CDD505-2E9C-101B-9397-08002B2CF9AE}" pid="4" name="ICV">
    <vt:lpwstr>DBB2A6E50B7D4868BE6767CC9BA457A3_13</vt:lpwstr>
  </property>
</Properties>
</file>