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元江县第三次全国农业普查主要数据公报</w:t>
      </w:r>
    </w:p>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（第二号）</w:t>
      </w:r>
    </w:p>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农业经营主体、农业机械和设施</w:t>
      </w:r>
    </w:p>
    <w:p>
      <w:pPr>
        <w:keepNext w:val="0"/>
        <w:keepLines w:val="0"/>
        <w:pageBreakBefore w:val="0"/>
        <w:kinsoku/>
        <w:wordWrap/>
        <w:overflowPunct/>
        <w:topLinePunct w:val="0"/>
        <w:autoSpaceDE/>
        <w:autoSpaceDN/>
        <w:bidi w:val="0"/>
        <w:adjustRightInd/>
        <w:snapToGrid/>
        <w:spacing w:beforeLines="50" w:line="620" w:lineRule="exact"/>
        <w:ind w:left="0" w:leftChars="0" w:right="0" w:rightChars="0"/>
        <w:jc w:val="center"/>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元江县第三次全国农业普查领导小组办公室</w:t>
      </w:r>
    </w:p>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元江县统计局</w:t>
      </w:r>
    </w:p>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2018年</w:t>
      </w:r>
      <w:r>
        <w:rPr>
          <w:rFonts w:hint="default" w:ascii="Times New Roman" w:hAnsi="Times New Roman" w:eastAsia="方正楷体_GBK" w:cs="Times New Roman"/>
          <w:color w:val="000000"/>
          <w:sz w:val="32"/>
          <w:szCs w:val="32"/>
          <w:lang w:val="en-US" w:eastAsia="zh-CN"/>
        </w:rPr>
        <w:t>8</w:t>
      </w:r>
      <w:r>
        <w:rPr>
          <w:rFonts w:hint="default" w:ascii="Times New Roman" w:hAnsi="Times New Roman" w:eastAsia="方正楷体_GBK" w:cs="Times New Roman"/>
          <w:color w:val="000000"/>
          <w:sz w:val="32"/>
          <w:szCs w:val="32"/>
        </w:rPr>
        <w:t>月</w:t>
      </w:r>
      <w:r>
        <w:rPr>
          <w:rFonts w:hint="default" w:ascii="Times New Roman" w:hAnsi="Times New Roman" w:eastAsia="方正楷体_GBK" w:cs="Times New Roman"/>
          <w:color w:val="000000"/>
          <w:sz w:val="32"/>
          <w:szCs w:val="32"/>
          <w:lang w:val="en-US" w:eastAsia="zh-CN"/>
        </w:rPr>
        <w:t>7</w:t>
      </w:r>
      <w:r>
        <w:rPr>
          <w:rFonts w:hint="default" w:ascii="Times New Roman" w:hAnsi="Times New Roman" w:eastAsia="方正楷体_GBK" w:cs="Times New Roman"/>
          <w:color w:val="000000"/>
          <w:sz w:val="32"/>
          <w:szCs w:val="32"/>
        </w:rPr>
        <w:t>日</w:t>
      </w: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200"/>
        <w:jc w:val="left"/>
        <w:textAlignment w:val="auto"/>
        <w:rPr>
          <w:rFonts w:ascii="仿宋" w:hAnsi="仿宋" w:eastAsia="仿宋" w:cs="Times New Roman"/>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200"/>
        <w:textAlignment w:val="auto"/>
        <w:rPr>
          <w:rFonts w:ascii="方正仿宋_GBK" w:hAnsi="方正仿宋_GBK" w:eastAsia="方正仿宋_GBK" w:cs="方正仿宋_GBK"/>
          <w:color w:val="000000" w:themeColor="text1"/>
          <w:kern w:val="0"/>
          <w:sz w:val="32"/>
          <w:szCs w:val="32"/>
        </w:rPr>
      </w:pPr>
      <w:r>
        <w:rPr>
          <w:rFonts w:hint="eastAsia" w:ascii="方正仿宋_GBK" w:hAnsi="方正仿宋_GBK" w:eastAsia="方正仿宋_GBK" w:cs="方正仿宋_GBK"/>
          <w:color w:val="000000" w:themeColor="text1"/>
          <w:kern w:val="0"/>
          <w:sz w:val="32"/>
          <w:szCs w:val="32"/>
        </w:rPr>
        <w:t>第三次全国农业普查对元江县农业经营主体、农业机械和设施进行了调查。现将主要结果公布如下：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一、农业经营主体数量</w:t>
      </w: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2016年，全县农业经营户40923户，其中规模农业经营户645户。全县农业经营单位912个。2016年末，在工商部门注册的农民合作社总数154个，其中，农业普查登记的以农业生产经营或服务为主的农民合作社65个。</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仿宋" w:hAnsi="仿宋" w:eastAsia="仿宋"/>
          <w:b/>
          <w:bCs/>
          <w:color w:val="333333"/>
          <w:kern w:val="0"/>
          <w:sz w:val="32"/>
          <w:szCs w:val="32"/>
        </w:rPr>
      </w:pPr>
      <w:r>
        <w:rPr>
          <w:rFonts w:hint="eastAsia" w:ascii="方正黑体_GBK" w:hAnsi="方正黑体_GBK" w:eastAsia="方正黑体_GBK" w:cs="方正黑体_GBK"/>
          <w:b/>
          <w:bCs/>
          <w:color w:val="000000" w:themeColor="text1"/>
          <w:kern w:val="0"/>
          <w:sz w:val="30"/>
          <w:szCs w:val="30"/>
        </w:rPr>
        <w:t>表</w:t>
      </w:r>
      <w:r>
        <w:rPr>
          <w:rFonts w:ascii="方正黑体_GBK" w:hAnsi="方正黑体_GBK" w:eastAsia="方正黑体_GBK" w:cs="方正黑体_GBK"/>
          <w:b/>
          <w:bCs/>
          <w:color w:val="000000" w:themeColor="text1"/>
          <w:kern w:val="0"/>
          <w:sz w:val="30"/>
          <w:szCs w:val="30"/>
        </w:rPr>
        <w:t xml:space="preserve">1 </w:t>
      </w:r>
      <w:r>
        <w:rPr>
          <w:rFonts w:hint="eastAsia" w:ascii="方正黑体_GBK" w:hAnsi="方正黑体_GBK" w:eastAsia="方正黑体_GBK" w:cs="方正黑体_GBK"/>
          <w:b/>
          <w:bCs/>
          <w:color w:val="000000" w:themeColor="text1"/>
          <w:kern w:val="0"/>
          <w:sz w:val="30"/>
          <w:szCs w:val="30"/>
        </w:rPr>
        <w:t>农业经营主体数量</w:t>
      </w:r>
      <w:r>
        <w:rPr>
          <w:rFonts w:ascii="仿宋" w:hAnsi="仿宋" w:eastAsia="仿宋"/>
          <w:b/>
          <w:bCs/>
          <w:color w:val="333333"/>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80" w:lineRule="exact"/>
        <w:ind w:left="57" w:right="57"/>
        <w:jc w:val="right"/>
        <w:textAlignment w:val="auto"/>
        <w:rPr>
          <w:rFonts w:ascii="仿宋" w:hAnsi="仿宋" w:eastAsia="仿宋"/>
          <w:b/>
          <w:bCs/>
          <w:color w:val="333333"/>
          <w:kern w:val="0"/>
          <w:sz w:val="32"/>
          <w:szCs w:val="32"/>
        </w:rPr>
      </w:pPr>
      <w:r>
        <w:rPr>
          <w:rFonts w:hint="eastAsia" w:ascii="方正仿宋简体" w:hAnsi="宋体" w:eastAsia="方正仿宋简体" w:cs="宋体"/>
          <w:color w:val="000000" w:themeColor="text1"/>
          <w:kern w:val="0"/>
        </w:rPr>
        <w:t>单位：户、个</w:t>
      </w:r>
    </w:p>
    <w:tbl>
      <w:tblPr>
        <w:tblStyle w:val="6"/>
        <w:tblW w:w="8440" w:type="dxa"/>
        <w:jc w:val="right"/>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0" w:type="dxa"/>
          <w:bottom w:w="0" w:type="dxa"/>
          <w:right w:w="0" w:type="dxa"/>
        </w:tblCellMar>
      </w:tblPr>
      <w:tblGrid>
        <w:gridCol w:w="5879"/>
        <w:gridCol w:w="2561"/>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10" w:hRule="atLeast"/>
          <w:jc w:val="right"/>
        </w:trPr>
        <w:tc>
          <w:tcPr>
            <w:tcW w:w="5879" w:type="dxa"/>
            <w:tcBorders>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left="57" w:right="57"/>
              <w:jc w:val="center"/>
              <w:textAlignment w:val="auto"/>
              <w:rPr>
                <w:rFonts w:ascii="仿宋" w:hAnsi="仿宋" w:eastAsia="仿宋" w:cs="Times New Roman"/>
                <w:kern w:val="0"/>
                <w:sz w:val="18"/>
                <w:szCs w:val="18"/>
              </w:rPr>
            </w:pPr>
            <w:r>
              <w:rPr>
                <w:rFonts w:hint="eastAsia" w:ascii="仿宋" w:hAnsi="仿宋" w:eastAsia="仿宋" w:cs="宋体"/>
                <w:kern w:val="0"/>
                <w:sz w:val="18"/>
                <w:szCs w:val="18"/>
              </w:rPr>
              <w:t>　</w:t>
            </w:r>
          </w:p>
        </w:tc>
        <w:tc>
          <w:tcPr>
            <w:tcW w:w="2561" w:type="dxa"/>
            <w:tcBorders>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80" w:lineRule="exact"/>
              <w:ind w:left="57" w:right="57"/>
              <w:jc w:val="center"/>
              <w:textAlignment w:val="auto"/>
              <w:rPr>
                <w:rFonts w:ascii="仿宋" w:hAnsi="仿宋" w:eastAsia="仿宋" w:cs="Times New Roman"/>
                <w:kern w:val="0"/>
                <w:sz w:val="18"/>
                <w:szCs w:val="18"/>
              </w:rPr>
            </w:pPr>
            <w:r>
              <w:rPr>
                <w:rFonts w:hint="eastAsia" w:ascii="方正仿宋简体" w:hAnsi="宋体" w:eastAsia="方正仿宋简体" w:cs="宋体"/>
                <w:color w:val="000000" w:themeColor="text1"/>
                <w:kern w:val="0"/>
              </w:rPr>
              <w:t>元江县</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10" w:hRule="atLeast"/>
          <w:jc w:val="right"/>
        </w:trPr>
        <w:tc>
          <w:tcPr>
            <w:tcW w:w="5879" w:type="dxa"/>
            <w:tcBorders>
              <w:top w:val="single" w:color="auto"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8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农业经营户</w:t>
            </w:r>
          </w:p>
        </w:tc>
        <w:tc>
          <w:tcPr>
            <w:tcW w:w="2561" w:type="dxa"/>
            <w:tcBorders>
              <w:top w:val="single" w:color="auto"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8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40923</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10" w:hRule="atLeast"/>
          <w:jc w:val="right"/>
        </w:trPr>
        <w:tc>
          <w:tcPr>
            <w:tcW w:w="587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8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 xml:space="preserve">  </w:t>
            </w:r>
            <w:r>
              <w:rPr>
                <w:rFonts w:ascii="方正仿宋简体" w:hAnsi="宋体" w:eastAsia="方正仿宋简体" w:cs="宋体"/>
                <w:color w:val="000000" w:themeColor="text1"/>
                <w:kern w:val="0"/>
              </w:rPr>
              <w:t>#</w:t>
            </w:r>
            <w:r>
              <w:rPr>
                <w:rFonts w:hint="eastAsia" w:ascii="方正仿宋简体" w:hAnsi="宋体" w:eastAsia="方正仿宋简体" w:cs="宋体"/>
                <w:color w:val="000000" w:themeColor="text1"/>
                <w:kern w:val="0"/>
              </w:rPr>
              <w:t>规模农业经营户</w:t>
            </w:r>
          </w:p>
        </w:tc>
        <w:tc>
          <w:tcPr>
            <w:tcW w:w="256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8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645</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10" w:hRule="atLeast"/>
          <w:jc w:val="right"/>
        </w:trPr>
        <w:tc>
          <w:tcPr>
            <w:tcW w:w="587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8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农业经营单位</w:t>
            </w:r>
          </w:p>
        </w:tc>
        <w:tc>
          <w:tcPr>
            <w:tcW w:w="256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8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912</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510" w:hRule="atLeast"/>
          <w:jc w:val="right"/>
        </w:trPr>
        <w:tc>
          <w:tcPr>
            <w:tcW w:w="587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80" w:lineRule="exact"/>
              <w:ind w:left="57" w:right="57" w:firstLine="210" w:firstLineChars="100"/>
              <w:jc w:val="left"/>
              <w:textAlignment w:val="auto"/>
              <w:rPr>
                <w:rFonts w:ascii="方正仿宋简体" w:hAnsi="宋体" w:eastAsia="方正仿宋简体" w:cs="宋体"/>
                <w:color w:val="000000" w:themeColor="text1"/>
                <w:kern w:val="0"/>
              </w:rPr>
            </w:pPr>
            <w:r>
              <w:rPr>
                <w:rFonts w:ascii="方正仿宋简体" w:hAnsi="宋体" w:eastAsia="方正仿宋简体" w:cs="宋体"/>
                <w:color w:val="000000" w:themeColor="text1"/>
                <w:kern w:val="0"/>
              </w:rPr>
              <w:t>#</w:t>
            </w:r>
            <w:r>
              <w:rPr>
                <w:rFonts w:hint="eastAsia" w:ascii="方正仿宋简体" w:hAnsi="宋体" w:eastAsia="方正仿宋简体" w:cs="宋体"/>
                <w:color w:val="000000" w:themeColor="text1"/>
                <w:kern w:val="0"/>
              </w:rPr>
              <w:t>农民合作社</w:t>
            </w:r>
          </w:p>
        </w:tc>
        <w:tc>
          <w:tcPr>
            <w:tcW w:w="256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8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65</w:t>
            </w:r>
          </w:p>
        </w:tc>
      </w:tr>
    </w:tbl>
    <w:p>
      <w:pPr>
        <w:keepNext w:val="0"/>
        <w:keepLines w:val="0"/>
        <w:pageBreakBefore w:val="0"/>
        <w:kinsoku/>
        <w:wordWrap/>
        <w:overflowPunct/>
        <w:topLinePunct w:val="0"/>
        <w:autoSpaceDE/>
        <w:autoSpaceDN/>
        <w:bidi w:val="0"/>
        <w:adjustRightInd/>
        <w:spacing w:line="600" w:lineRule="exact"/>
        <w:ind w:firstLine="180" w:firstLineChars="100"/>
        <w:textAlignment w:val="auto"/>
        <w:rPr>
          <w:rFonts w:ascii="方正楷体简体" w:hAnsi="楷体" w:eastAsia="方正楷体简体" w:cs="宋体"/>
          <w:color w:val="000000"/>
          <w:kern w:val="0"/>
          <w:sz w:val="18"/>
          <w:szCs w:val="18"/>
        </w:rPr>
      </w:pPr>
      <w:r>
        <w:rPr>
          <w:rFonts w:hint="eastAsia" w:ascii="方正楷体简体" w:hAnsi="楷体" w:eastAsia="方正楷体简体" w:cs="宋体"/>
          <w:color w:val="000000"/>
          <w:kern w:val="0"/>
          <w:sz w:val="18"/>
          <w:szCs w:val="18"/>
        </w:rPr>
        <w:t>注: 农民合作社指以农业生产经营或服务为主的农民合作社。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二、农业机械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2016年末，全</w:t>
      </w:r>
      <w:r>
        <w:rPr>
          <w:rFonts w:hint="eastAsia" w:ascii="Times New Roman" w:hAnsi="Times New Roman" w:eastAsia="方正仿宋_GBK" w:cs="Times New Roman"/>
          <w:color w:val="000000" w:themeColor="text1"/>
          <w:kern w:val="0"/>
          <w:sz w:val="32"/>
          <w:szCs w:val="32"/>
          <w:lang w:eastAsia="zh-CN"/>
        </w:rPr>
        <w:t>县</w:t>
      </w:r>
      <w:r>
        <w:rPr>
          <w:rFonts w:hint="default" w:ascii="Times New Roman" w:hAnsi="Times New Roman" w:eastAsia="方正仿宋_GBK" w:cs="Times New Roman"/>
          <w:color w:val="000000" w:themeColor="text1"/>
          <w:kern w:val="0"/>
          <w:sz w:val="32"/>
          <w:szCs w:val="32"/>
        </w:rPr>
        <w:t>拖拉机2028台，耕整机2339台，旋耕机4454台,联合收获机32台，播种机76台,排灌动力机械4783套。</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ascii="方正黑体_GBK" w:hAnsi="方正黑体_GBK" w:eastAsia="方正黑体_GBK" w:cs="方正黑体_GBK"/>
          <w:b/>
          <w:bCs/>
          <w:color w:val="000000" w:themeColor="text1"/>
          <w:kern w:val="0"/>
          <w:sz w:val="30"/>
          <w:szCs w:val="30"/>
        </w:rPr>
      </w:pPr>
      <w:r>
        <w:rPr>
          <w:rFonts w:hint="eastAsia" w:ascii="方正黑体_GBK" w:hAnsi="方正黑体_GBK" w:eastAsia="方正黑体_GBK" w:cs="方正黑体_GBK"/>
          <w:b/>
          <w:bCs/>
          <w:color w:val="000000" w:themeColor="text1"/>
          <w:kern w:val="0"/>
          <w:sz w:val="30"/>
          <w:szCs w:val="30"/>
        </w:rPr>
        <w:t>表</w:t>
      </w:r>
      <w:r>
        <w:rPr>
          <w:rFonts w:ascii="方正黑体_GBK" w:hAnsi="方正黑体_GBK" w:eastAsia="方正黑体_GBK" w:cs="方正黑体_GBK"/>
          <w:b/>
          <w:bCs/>
          <w:color w:val="000000" w:themeColor="text1"/>
          <w:kern w:val="0"/>
          <w:sz w:val="30"/>
          <w:szCs w:val="30"/>
        </w:rPr>
        <w:t xml:space="preserve">2 </w:t>
      </w:r>
      <w:r>
        <w:rPr>
          <w:rFonts w:hint="eastAsia" w:ascii="方正黑体_GBK" w:hAnsi="方正黑体_GBK" w:eastAsia="方正黑体_GBK" w:cs="方正黑体_GBK"/>
          <w:b/>
          <w:bCs/>
          <w:color w:val="000000" w:themeColor="text1"/>
          <w:kern w:val="0"/>
          <w:sz w:val="30"/>
          <w:szCs w:val="30"/>
        </w:rPr>
        <w:t>主要农业机械数量</w:t>
      </w:r>
    </w:p>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单位：台、套、艘</w:t>
      </w:r>
    </w:p>
    <w:tbl>
      <w:tblPr>
        <w:tblStyle w:val="6"/>
        <w:tblW w:w="8423"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71"/>
        <w:gridCol w:w="255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871" w:type="dxa"/>
            <w:tcBorders>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center"/>
              <w:textAlignment w:val="auto"/>
              <w:rPr>
                <w:rFonts w:ascii="仿宋" w:hAnsi="仿宋" w:eastAsia="仿宋" w:cs="宋体"/>
                <w:kern w:val="0"/>
                <w:sz w:val="18"/>
                <w:szCs w:val="18"/>
              </w:rPr>
            </w:pPr>
            <w:r>
              <w:rPr>
                <w:rFonts w:hint="eastAsia" w:ascii="仿宋" w:hAnsi="仿宋" w:eastAsia="仿宋" w:cs="宋体"/>
                <w:kern w:val="0"/>
                <w:sz w:val="18"/>
                <w:szCs w:val="18"/>
              </w:rPr>
              <w:t>　</w:t>
            </w:r>
          </w:p>
        </w:tc>
        <w:tc>
          <w:tcPr>
            <w:tcW w:w="2552" w:type="dxa"/>
            <w:tcBorders>
              <w:left w:val="single" w:color="auto" w:sz="8" w:space="0"/>
              <w:bottom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center"/>
              <w:textAlignment w:val="auto"/>
              <w:rPr>
                <w:rFonts w:ascii="仿宋" w:hAnsi="仿宋" w:eastAsia="仿宋" w:cs="宋体"/>
                <w:kern w:val="0"/>
                <w:sz w:val="18"/>
                <w:szCs w:val="18"/>
              </w:rPr>
            </w:pPr>
            <w:r>
              <w:rPr>
                <w:rFonts w:hint="eastAsia" w:ascii="方正仿宋简体" w:hAnsi="宋体" w:eastAsia="方正仿宋简体" w:cs="宋体"/>
                <w:color w:val="000000" w:themeColor="text1"/>
                <w:kern w:val="0"/>
              </w:rPr>
              <w:t>元江县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871" w:type="dxa"/>
            <w:tcBorders>
              <w:top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拖拉机</w:t>
            </w:r>
          </w:p>
        </w:tc>
        <w:tc>
          <w:tcPr>
            <w:tcW w:w="2552" w:type="dxa"/>
            <w:tcBorders>
              <w:top w:val="single" w:color="auto" w:sz="8" w:space="0"/>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2028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耕整机</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2339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旋耕机</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4454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播种机</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76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水稻插秧机</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14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排灌动力机械</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4783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联合收获机</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32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机动脱粒机</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7548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饲草料加工机械</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2678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挤奶机</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剪毛机</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增氧机</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109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果树修剪机</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448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内陆渔用机动船</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5871" w:type="dxa"/>
            <w:tcBorders>
              <w:top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海洋渔用机动船</w:t>
            </w:r>
          </w:p>
        </w:tc>
        <w:tc>
          <w:tcPr>
            <w:tcW w:w="2552" w:type="dxa"/>
            <w:tcBorders>
              <w:left w:val="single" w:color="auto" w:sz="8"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w:t>
            </w:r>
          </w:p>
        </w:tc>
      </w:tr>
    </w:tbl>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方正黑体_GBK" w:hAnsi="方正黑体_GBK" w:eastAsia="方正黑体_GBK" w:cs="方正黑体_GBK"/>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三、农田水利设施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2016年末，全县调查村中能够正常使用的机电井数量5眼，排灌站数量3个，能够使用的灌溉用水塘和水库数量187个。</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ascii="方正黑体_GBK" w:hAnsi="方正黑体_GBK" w:eastAsia="方正黑体_GBK" w:cs="方正黑体_GBK"/>
          <w:b/>
          <w:bCs/>
          <w:color w:val="000000" w:themeColor="text1"/>
          <w:kern w:val="0"/>
          <w:sz w:val="30"/>
          <w:szCs w:val="30"/>
        </w:rPr>
      </w:pPr>
      <w:r>
        <w:rPr>
          <w:rFonts w:hint="eastAsia" w:ascii="方正黑体_GBK" w:hAnsi="方正黑体_GBK" w:eastAsia="方正黑体_GBK" w:cs="方正黑体_GBK"/>
          <w:b/>
          <w:bCs/>
          <w:color w:val="000000" w:themeColor="text1"/>
          <w:kern w:val="0"/>
          <w:sz w:val="30"/>
          <w:szCs w:val="30"/>
        </w:rPr>
        <w:t>表</w:t>
      </w:r>
      <w:r>
        <w:rPr>
          <w:rFonts w:ascii="方正黑体_GBK" w:hAnsi="方正黑体_GBK" w:eastAsia="方正黑体_GBK" w:cs="方正黑体_GBK"/>
          <w:b/>
          <w:bCs/>
          <w:color w:val="000000" w:themeColor="text1"/>
          <w:kern w:val="0"/>
          <w:sz w:val="30"/>
          <w:szCs w:val="30"/>
        </w:rPr>
        <w:t xml:space="preserve">3 </w:t>
      </w:r>
      <w:r>
        <w:rPr>
          <w:rFonts w:hint="eastAsia" w:ascii="方正黑体_GBK" w:hAnsi="方正黑体_GBK" w:eastAsia="方正黑体_GBK" w:cs="方正黑体_GBK"/>
          <w:b/>
          <w:bCs/>
          <w:color w:val="000000" w:themeColor="text1"/>
          <w:kern w:val="0"/>
          <w:sz w:val="30"/>
          <w:szCs w:val="30"/>
        </w:rPr>
        <w:t>农田水利设施</w:t>
      </w:r>
    </w:p>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单位：眼、个</w:t>
      </w:r>
    </w:p>
    <w:tbl>
      <w:tblPr>
        <w:tblStyle w:val="6"/>
        <w:tblW w:w="8276" w:type="dxa"/>
        <w:jc w:val="center"/>
        <w:tblLayout w:type="fixed"/>
        <w:tblCellMar>
          <w:top w:w="0" w:type="dxa"/>
          <w:left w:w="0" w:type="dxa"/>
          <w:bottom w:w="0" w:type="dxa"/>
          <w:right w:w="0" w:type="dxa"/>
        </w:tblCellMar>
      </w:tblPr>
      <w:tblGrid>
        <w:gridCol w:w="5797"/>
        <w:gridCol w:w="2479"/>
      </w:tblGrid>
      <w:tr>
        <w:tblPrEx>
          <w:tblCellMar>
            <w:top w:w="0" w:type="dxa"/>
            <w:left w:w="0" w:type="dxa"/>
            <w:bottom w:w="0" w:type="dxa"/>
            <w:right w:w="0" w:type="dxa"/>
          </w:tblCellMar>
        </w:tblPrEx>
        <w:trPr>
          <w:trHeight w:val="510" w:hRule="atLeast"/>
          <w:jc w:val="center"/>
        </w:trPr>
        <w:tc>
          <w:tcPr>
            <w:tcW w:w="5797" w:type="dxa"/>
            <w:tcBorders>
              <w:top w:val="single" w:color="auto" w:sz="12" w:space="0"/>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center"/>
              <w:textAlignment w:val="auto"/>
              <w:rPr>
                <w:rFonts w:ascii="仿宋" w:hAnsi="仿宋" w:eastAsia="仿宋" w:cs="宋体"/>
                <w:kern w:val="0"/>
                <w:sz w:val="18"/>
                <w:szCs w:val="18"/>
              </w:rPr>
            </w:pPr>
            <w:r>
              <w:rPr>
                <w:rFonts w:hint="eastAsia" w:ascii="仿宋" w:hAnsi="仿宋" w:eastAsia="仿宋" w:cs="宋体"/>
                <w:kern w:val="0"/>
                <w:sz w:val="18"/>
                <w:szCs w:val="18"/>
              </w:rPr>
              <w:t>　</w:t>
            </w:r>
          </w:p>
        </w:tc>
        <w:tc>
          <w:tcPr>
            <w:tcW w:w="2479" w:type="dxa"/>
            <w:tcBorders>
              <w:top w:val="single" w:color="auto" w:sz="12" w:space="0"/>
              <w:left w:val="single" w:color="auto" w:sz="4" w:space="0"/>
              <w:bottom w:val="single" w:color="auto" w:sz="8" w:space="0"/>
              <w:right w:val="nil"/>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center"/>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元江县</w:t>
            </w:r>
          </w:p>
        </w:tc>
      </w:tr>
      <w:tr>
        <w:tblPrEx>
          <w:tblCellMar>
            <w:top w:w="0" w:type="dxa"/>
            <w:left w:w="0" w:type="dxa"/>
            <w:bottom w:w="0" w:type="dxa"/>
            <w:right w:w="0" w:type="dxa"/>
          </w:tblCellMar>
        </w:tblPrEx>
        <w:trPr>
          <w:trHeight w:val="510" w:hRule="atLeast"/>
          <w:jc w:val="center"/>
        </w:trPr>
        <w:tc>
          <w:tcPr>
            <w:tcW w:w="5797" w:type="dxa"/>
            <w:tcBorders>
              <w:top w:val="single" w:color="auto" w:sz="8"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能正常使用的机电井数量</w:t>
            </w:r>
          </w:p>
        </w:tc>
        <w:tc>
          <w:tcPr>
            <w:tcW w:w="2479" w:type="dxa"/>
            <w:tcBorders>
              <w:top w:val="single" w:color="auto" w:sz="8" w:space="0"/>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5</w:t>
            </w:r>
          </w:p>
        </w:tc>
      </w:tr>
      <w:tr>
        <w:tblPrEx>
          <w:tblCellMar>
            <w:top w:w="0" w:type="dxa"/>
            <w:left w:w="0" w:type="dxa"/>
            <w:bottom w:w="0" w:type="dxa"/>
            <w:right w:w="0" w:type="dxa"/>
          </w:tblCellMar>
        </w:tblPrEx>
        <w:trPr>
          <w:trHeight w:val="510" w:hRule="atLeast"/>
          <w:jc w:val="center"/>
        </w:trPr>
        <w:tc>
          <w:tcPr>
            <w:tcW w:w="5797"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排灌站数量</w:t>
            </w:r>
          </w:p>
        </w:tc>
        <w:tc>
          <w:tcPr>
            <w:tcW w:w="2479" w:type="dxa"/>
            <w:tcBorders>
              <w:top w:val="nil"/>
              <w:left w:val="single" w:color="auto" w:sz="4" w:space="0"/>
              <w:bottom w:val="nil"/>
              <w:right w:val="nil"/>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3</w:t>
            </w:r>
          </w:p>
        </w:tc>
      </w:tr>
      <w:tr>
        <w:tblPrEx>
          <w:tblCellMar>
            <w:top w:w="0" w:type="dxa"/>
            <w:left w:w="0" w:type="dxa"/>
            <w:bottom w:w="0" w:type="dxa"/>
            <w:right w:w="0" w:type="dxa"/>
          </w:tblCellMar>
        </w:tblPrEx>
        <w:trPr>
          <w:trHeight w:val="510" w:hRule="atLeast"/>
          <w:jc w:val="center"/>
        </w:trPr>
        <w:tc>
          <w:tcPr>
            <w:tcW w:w="5797" w:type="dxa"/>
            <w:tcBorders>
              <w:top w:val="nil"/>
              <w:left w:val="nil"/>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能灌溉用的水塘和水库</w:t>
            </w:r>
          </w:p>
        </w:tc>
        <w:tc>
          <w:tcPr>
            <w:tcW w:w="2479" w:type="dxa"/>
            <w:tcBorders>
              <w:top w:val="nil"/>
              <w:left w:val="single" w:color="auto" w:sz="4" w:space="0"/>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187</w:t>
            </w:r>
          </w:p>
        </w:tc>
      </w:tr>
    </w:tbl>
    <w:p>
      <w:pPr>
        <w:keepNext w:val="0"/>
        <w:keepLines w:val="0"/>
        <w:pageBreakBefore w:val="0"/>
        <w:widowControl/>
        <w:kinsoku/>
        <w:wordWrap/>
        <w:overflowPunct/>
        <w:topLinePunct w:val="0"/>
        <w:autoSpaceDE/>
        <w:autoSpaceDN/>
        <w:bidi w:val="0"/>
        <w:adjustRightInd/>
        <w:snapToGrid/>
        <w:spacing w:beforeLines="50" w:line="600" w:lineRule="exact"/>
        <w:ind w:firstLine="640" w:firstLineChars="200"/>
        <w:textAlignment w:val="auto"/>
        <w:outlineLvl w:val="9"/>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2016年末，全县能灌溉的耕地面积6.9千公顷，其中有喷灌、滴灌、渗灌设施的耕地面积0.8千公顷；灌溉用水主要水源中，使用地下水的户和农业生产单位占1.2%，使用地表水的户和农业生产单位占98.8%。</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ascii="方正黑体_GBK" w:hAnsi="方正黑体_GBK" w:eastAsia="方正黑体_GBK" w:cs="方正黑体_GBK"/>
          <w:b/>
          <w:bCs/>
          <w:color w:val="000000" w:themeColor="text1"/>
          <w:kern w:val="0"/>
          <w:sz w:val="30"/>
          <w:szCs w:val="30"/>
        </w:rPr>
      </w:pPr>
      <w:r>
        <w:rPr>
          <w:rFonts w:hint="eastAsia" w:ascii="方正黑体_GBK" w:hAnsi="方正黑体_GBK" w:eastAsia="方正黑体_GBK" w:cs="方正黑体_GBK"/>
          <w:b/>
          <w:bCs/>
          <w:color w:val="000000" w:themeColor="text1"/>
          <w:kern w:val="0"/>
          <w:sz w:val="30"/>
          <w:szCs w:val="30"/>
        </w:rPr>
        <w:t>表</w:t>
      </w:r>
      <w:r>
        <w:rPr>
          <w:rFonts w:ascii="方正黑体_GBK" w:hAnsi="方正黑体_GBK" w:eastAsia="方正黑体_GBK" w:cs="方正黑体_GBK"/>
          <w:b/>
          <w:bCs/>
          <w:color w:val="000000" w:themeColor="text1"/>
          <w:kern w:val="0"/>
          <w:sz w:val="30"/>
          <w:szCs w:val="30"/>
        </w:rPr>
        <w:t xml:space="preserve">4 </w:t>
      </w:r>
      <w:r>
        <w:rPr>
          <w:rFonts w:hint="eastAsia" w:ascii="方正黑体_GBK" w:hAnsi="方正黑体_GBK" w:eastAsia="方正黑体_GBK" w:cs="方正黑体_GBK"/>
          <w:b/>
          <w:bCs/>
          <w:color w:val="000000" w:themeColor="text1"/>
          <w:kern w:val="0"/>
          <w:sz w:val="30"/>
          <w:szCs w:val="30"/>
        </w:rPr>
        <w:t>农田灌溉</w:t>
      </w:r>
    </w:p>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单位：千公顷</w:t>
      </w:r>
    </w:p>
    <w:tbl>
      <w:tblPr>
        <w:tblStyle w:val="6"/>
        <w:tblW w:w="8450" w:type="dxa"/>
        <w:tblInd w:w="0" w:type="dxa"/>
        <w:tblLayout w:type="fixed"/>
        <w:tblCellMar>
          <w:top w:w="0" w:type="dxa"/>
          <w:left w:w="108" w:type="dxa"/>
          <w:bottom w:w="0" w:type="dxa"/>
          <w:right w:w="108" w:type="dxa"/>
        </w:tblCellMar>
      </w:tblPr>
      <w:tblGrid>
        <w:gridCol w:w="5920"/>
        <w:gridCol w:w="2530"/>
      </w:tblGrid>
      <w:tr>
        <w:tblPrEx>
          <w:tblCellMar>
            <w:top w:w="0" w:type="dxa"/>
            <w:left w:w="108" w:type="dxa"/>
            <w:bottom w:w="0" w:type="dxa"/>
            <w:right w:w="108" w:type="dxa"/>
          </w:tblCellMar>
        </w:tblPrEx>
        <w:trPr>
          <w:trHeight w:val="510" w:hRule="atLeast"/>
        </w:trPr>
        <w:tc>
          <w:tcPr>
            <w:tcW w:w="5920" w:type="dxa"/>
            <w:tcBorders>
              <w:top w:val="single" w:color="auto" w:sz="12"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left"/>
              <w:textAlignment w:val="auto"/>
              <w:rPr>
                <w:rFonts w:ascii="宋体" w:hAnsi="宋体" w:cs="Arial"/>
                <w:kern w:val="0"/>
                <w:sz w:val="18"/>
                <w:szCs w:val="18"/>
              </w:rPr>
            </w:pPr>
            <w:r>
              <w:rPr>
                <w:rFonts w:hint="eastAsia" w:ascii="宋体" w:hAnsi="宋体" w:cs="Arial"/>
                <w:kern w:val="0"/>
                <w:sz w:val="18"/>
                <w:szCs w:val="18"/>
              </w:rPr>
              <w:t>　</w:t>
            </w:r>
          </w:p>
        </w:tc>
        <w:tc>
          <w:tcPr>
            <w:tcW w:w="2530" w:type="dxa"/>
            <w:tcBorders>
              <w:top w:val="single" w:color="auto" w:sz="12" w:space="0"/>
              <w:left w:val="single" w:color="auto" w:sz="8" w:space="0"/>
              <w:bottom w:val="single" w:color="auto" w:sz="8"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center"/>
              <w:textAlignment w:val="auto"/>
              <w:rPr>
                <w:rFonts w:ascii="仿宋" w:hAnsi="仿宋" w:eastAsia="仿宋" w:cs="宋体"/>
                <w:kern w:val="0"/>
                <w:sz w:val="18"/>
                <w:szCs w:val="18"/>
              </w:rPr>
            </w:pPr>
            <w:r>
              <w:rPr>
                <w:rFonts w:hint="eastAsia" w:ascii="方正仿宋简体" w:hAnsi="宋体" w:eastAsia="方正仿宋简体" w:cs="宋体"/>
                <w:color w:val="000000" w:themeColor="text1"/>
                <w:kern w:val="0"/>
              </w:rPr>
              <w:t>元江县</w:t>
            </w:r>
          </w:p>
        </w:tc>
      </w:tr>
      <w:tr>
        <w:tblPrEx>
          <w:tblCellMar>
            <w:top w:w="0" w:type="dxa"/>
            <w:left w:w="108" w:type="dxa"/>
            <w:bottom w:w="0" w:type="dxa"/>
            <w:right w:w="108" w:type="dxa"/>
          </w:tblCellMar>
        </w:tblPrEx>
        <w:trPr>
          <w:trHeight w:val="510" w:hRule="atLeast"/>
        </w:trPr>
        <w:tc>
          <w:tcPr>
            <w:tcW w:w="5920" w:type="dxa"/>
            <w:tcBorders>
              <w:top w:val="single" w:color="auto" w:sz="8" w:space="0"/>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可灌溉耕地面积</w:t>
            </w:r>
          </w:p>
        </w:tc>
        <w:tc>
          <w:tcPr>
            <w:tcW w:w="2530" w:type="dxa"/>
            <w:tcBorders>
              <w:top w:val="single" w:color="auto" w:sz="8" w:space="0"/>
              <w:left w:val="single" w:color="auto" w:sz="8"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6.9</w:t>
            </w:r>
          </w:p>
        </w:tc>
      </w:tr>
      <w:tr>
        <w:tblPrEx>
          <w:tblCellMar>
            <w:top w:w="0" w:type="dxa"/>
            <w:left w:w="108" w:type="dxa"/>
            <w:bottom w:w="0" w:type="dxa"/>
            <w:right w:w="108" w:type="dxa"/>
          </w:tblCellMar>
        </w:tblPrEx>
        <w:trPr>
          <w:trHeight w:val="510" w:hRule="atLeast"/>
        </w:trPr>
        <w:tc>
          <w:tcPr>
            <w:tcW w:w="5920" w:type="dxa"/>
            <w:tcBorders>
              <w:top w:val="nil"/>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right="57" w:firstLine="315" w:firstLineChars="150"/>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#有喷灌、滴灌、渗灌设施的耕地面积</w:t>
            </w:r>
          </w:p>
        </w:tc>
        <w:tc>
          <w:tcPr>
            <w:tcW w:w="2530" w:type="dxa"/>
            <w:tcBorders>
              <w:top w:val="nil"/>
              <w:left w:val="single" w:color="auto" w:sz="8"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0.8</w:t>
            </w:r>
          </w:p>
        </w:tc>
      </w:tr>
      <w:tr>
        <w:tblPrEx>
          <w:tblCellMar>
            <w:top w:w="0" w:type="dxa"/>
            <w:left w:w="108" w:type="dxa"/>
            <w:bottom w:w="0" w:type="dxa"/>
            <w:right w:w="108" w:type="dxa"/>
          </w:tblCellMar>
        </w:tblPrEx>
        <w:trPr>
          <w:trHeight w:val="510" w:hRule="atLeast"/>
        </w:trPr>
        <w:tc>
          <w:tcPr>
            <w:tcW w:w="5920" w:type="dxa"/>
            <w:tcBorders>
              <w:top w:val="nil"/>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灌溉用水主要水源（%）</w:t>
            </w:r>
          </w:p>
        </w:tc>
        <w:tc>
          <w:tcPr>
            <w:tcW w:w="2530" w:type="dxa"/>
            <w:tcBorders>
              <w:top w:val="nil"/>
              <w:left w:val="single" w:color="auto" w:sz="8"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p>
        </w:tc>
      </w:tr>
      <w:tr>
        <w:tblPrEx>
          <w:tblCellMar>
            <w:top w:w="0" w:type="dxa"/>
            <w:left w:w="108" w:type="dxa"/>
            <w:bottom w:w="0" w:type="dxa"/>
            <w:right w:w="108" w:type="dxa"/>
          </w:tblCellMar>
        </w:tblPrEx>
        <w:trPr>
          <w:trHeight w:val="510" w:hRule="atLeast"/>
        </w:trPr>
        <w:tc>
          <w:tcPr>
            <w:tcW w:w="5920" w:type="dxa"/>
            <w:tcBorders>
              <w:top w:val="nil"/>
              <w:left w:val="nil"/>
              <w:bottom w:val="nil"/>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 xml:space="preserve">   地下水</w:t>
            </w:r>
          </w:p>
        </w:tc>
        <w:tc>
          <w:tcPr>
            <w:tcW w:w="2530" w:type="dxa"/>
            <w:tcBorders>
              <w:top w:val="nil"/>
              <w:left w:val="single" w:color="auto" w:sz="8"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1.2</w:t>
            </w:r>
          </w:p>
        </w:tc>
      </w:tr>
      <w:tr>
        <w:tblPrEx>
          <w:tblCellMar>
            <w:top w:w="0" w:type="dxa"/>
            <w:left w:w="108" w:type="dxa"/>
            <w:bottom w:w="0" w:type="dxa"/>
            <w:right w:w="108" w:type="dxa"/>
          </w:tblCellMar>
        </w:tblPrEx>
        <w:trPr>
          <w:trHeight w:val="510" w:hRule="atLeast"/>
        </w:trPr>
        <w:tc>
          <w:tcPr>
            <w:tcW w:w="5920" w:type="dxa"/>
            <w:tcBorders>
              <w:top w:val="nil"/>
              <w:left w:val="nil"/>
              <w:bottom w:val="single" w:color="auto" w:sz="12"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 xml:space="preserve">   地表水</w:t>
            </w:r>
          </w:p>
        </w:tc>
        <w:tc>
          <w:tcPr>
            <w:tcW w:w="2530" w:type="dxa"/>
            <w:tcBorders>
              <w:top w:val="nil"/>
              <w:left w:val="single" w:color="auto" w:sz="8" w:space="0"/>
              <w:bottom w:val="single" w:color="auto" w:sz="12"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rPr>
            </w:pPr>
            <w:r>
              <w:rPr>
                <w:rFonts w:hint="eastAsia" w:ascii="方正仿宋简体" w:hAnsi="宋体" w:eastAsia="方正仿宋简体" w:cs="宋体"/>
                <w:color w:val="000000" w:themeColor="text1"/>
                <w:kern w:val="0"/>
              </w:rPr>
              <w:t>98.8</w:t>
            </w:r>
          </w:p>
        </w:tc>
      </w:tr>
    </w:tbl>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ascii="黑体" w:hAnsi="黑体" w:eastAsia="黑体" w:cs="黑体"/>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四、设施农业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rPr>
        <w:t>2016年末，全县温室占地面积9.5公顷，大棚占地面积73.9公顷，渔业养殖用房面积0.</w:t>
      </w:r>
      <w:r>
        <w:rPr>
          <w:rFonts w:hint="default" w:ascii="Times New Roman" w:hAnsi="Times New Roman" w:eastAsia="方正仿宋_GBK" w:cs="Times New Roman"/>
          <w:color w:val="000000" w:themeColor="text1"/>
          <w:kern w:val="0"/>
          <w:sz w:val="32"/>
          <w:szCs w:val="32"/>
          <w:lang w:val="en-US" w:eastAsia="zh-CN"/>
        </w:rPr>
        <w:t>3526</w:t>
      </w:r>
      <w:r>
        <w:rPr>
          <w:rFonts w:hint="default" w:ascii="Times New Roman" w:hAnsi="Times New Roman" w:eastAsia="方正仿宋_GBK" w:cs="Times New Roman"/>
          <w:color w:val="000000" w:themeColor="text1"/>
          <w:kern w:val="0"/>
          <w:sz w:val="32"/>
          <w:szCs w:val="32"/>
        </w:rPr>
        <w:t>公顷。</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ascii="方正黑体_GBK" w:hAnsi="方正黑体_GBK" w:eastAsia="方正黑体_GBK" w:cs="方正黑体_GBK"/>
          <w:b/>
          <w:bCs/>
          <w:color w:val="000000" w:themeColor="text1"/>
          <w:kern w:val="0"/>
          <w:sz w:val="30"/>
          <w:szCs w:val="30"/>
        </w:rPr>
      </w:pPr>
      <w:r>
        <w:rPr>
          <w:rFonts w:hint="eastAsia" w:ascii="方正黑体_GBK" w:hAnsi="方正黑体_GBK" w:eastAsia="方正黑体_GBK" w:cs="方正黑体_GBK"/>
          <w:b/>
          <w:bCs/>
          <w:color w:val="000000" w:themeColor="text1"/>
          <w:kern w:val="0"/>
          <w:sz w:val="30"/>
          <w:szCs w:val="30"/>
        </w:rPr>
        <w:t>表</w:t>
      </w:r>
      <w:r>
        <w:rPr>
          <w:rFonts w:ascii="方正黑体_GBK" w:hAnsi="方正黑体_GBK" w:eastAsia="方正黑体_GBK" w:cs="方正黑体_GBK"/>
          <w:b/>
          <w:bCs/>
          <w:color w:val="000000" w:themeColor="text1"/>
          <w:kern w:val="0"/>
          <w:sz w:val="30"/>
          <w:szCs w:val="30"/>
        </w:rPr>
        <w:t xml:space="preserve">5 </w:t>
      </w:r>
      <w:r>
        <w:rPr>
          <w:rFonts w:hint="eastAsia" w:ascii="方正黑体_GBK" w:hAnsi="方正黑体_GBK" w:eastAsia="方正黑体_GBK" w:cs="方正黑体_GBK"/>
          <w:b/>
          <w:bCs/>
          <w:color w:val="000000" w:themeColor="text1"/>
          <w:kern w:val="0"/>
          <w:sz w:val="30"/>
          <w:szCs w:val="30"/>
        </w:rPr>
        <w:t>设施农业</w:t>
      </w:r>
    </w:p>
    <w:p>
      <w:pPr>
        <w:keepNext w:val="0"/>
        <w:keepLines w:val="0"/>
        <w:pageBreakBefore w:val="0"/>
        <w:widowControl/>
        <w:kinsoku/>
        <w:wordWrap/>
        <w:overflowPunct/>
        <w:topLinePunct w:val="0"/>
        <w:autoSpaceDE/>
        <w:autoSpaceDN/>
        <w:bidi w:val="0"/>
        <w:adjustRightInd/>
        <w:spacing w:line="600" w:lineRule="exact"/>
        <w:jc w:val="right"/>
        <w:textAlignment w:val="auto"/>
        <w:rPr>
          <w:rFonts w:ascii="方正仿宋简体" w:hAnsi="仿宋" w:eastAsia="方正仿宋简体" w:cs="宋体"/>
          <w:color w:val="000000"/>
          <w:kern w:val="0"/>
        </w:rPr>
      </w:pPr>
      <w:r>
        <w:rPr>
          <w:rFonts w:hint="eastAsia" w:ascii="方正仿宋简体" w:hAnsi="仿宋" w:eastAsia="方正仿宋简体" w:cs="宋体"/>
          <w:color w:val="000000"/>
          <w:kern w:val="0"/>
        </w:rPr>
        <w:t>单位：公顷</w:t>
      </w:r>
    </w:p>
    <w:tbl>
      <w:tblPr>
        <w:tblStyle w:val="6"/>
        <w:tblW w:w="858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951"/>
        <w:gridCol w:w="26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951" w:type="dxa"/>
            <w:tcBorders>
              <w:top w:val="single" w:color="auto" w:sz="12"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center"/>
              <w:textAlignment w:val="auto"/>
              <w:rPr>
                <w:rFonts w:ascii="仿宋" w:hAnsi="仿宋" w:eastAsia="仿宋" w:cs="宋体"/>
                <w:kern w:val="0"/>
                <w:sz w:val="21"/>
                <w:szCs w:val="21"/>
              </w:rPr>
            </w:pPr>
            <w:r>
              <w:rPr>
                <w:rFonts w:hint="eastAsia" w:ascii="仿宋" w:hAnsi="仿宋" w:eastAsia="仿宋" w:cs="宋体"/>
                <w:kern w:val="0"/>
                <w:sz w:val="21"/>
                <w:szCs w:val="21"/>
              </w:rPr>
              <w:t>　</w:t>
            </w:r>
          </w:p>
        </w:tc>
        <w:tc>
          <w:tcPr>
            <w:tcW w:w="2631" w:type="dxa"/>
            <w:tcBorders>
              <w:top w:val="single" w:color="auto" w:sz="12" w:space="0"/>
              <w:left w:val="single" w:color="auto" w:sz="8" w:space="0"/>
              <w:bottom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center"/>
              <w:textAlignment w:val="auto"/>
              <w:rPr>
                <w:rFonts w:ascii="仿宋" w:hAnsi="仿宋" w:eastAsia="仿宋" w:cs="宋体"/>
                <w:kern w:val="0"/>
                <w:sz w:val="21"/>
                <w:szCs w:val="21"/>
              </w:rPr>
            </w:pPr>
            <w:r>
              <w:rPr>
                <w:rFonts w:hint="eastAsia" w:ascii="方正仿宋简体" w:hAnsi="宋体" w:eastAsia="方正仿宋简体" w:cs="宋体"/>
                <w:color w:val="000000" w:themeColor="text1"/>
                <w:kern w:val="0"/>
                <w:sz w:val="21"/>
                <w:szCs w:val="21"/>
              </w:rPr>
              <w:t>元江县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951" w:type="dxa"/>
            <w:tcBorders>
              <w:top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sz w:val="21"/>
                <w:szCs w:val="21"/>
              </w:rPr>
            </w:pPr>
            <w:r>
              <w:rPr>
                <w:rFonts w:hint="eastAsia" w:ascii="方正仿宋简体" w:hAnsi="宋体" w:eastAsia="方正仿宋简体" w:cs="宋体"/>
                <w:color w:val="000000" w:themeColor="text1"/>
                <w:kern w:val="0"/>
                <w:sz w:val="21"/>
                <w:szCs w:val="21"/>
              </w:rPr>
              <w:t>温室占地面积</w:t>
            </w:r>
          </w:p>
        </w:tc>
        <w:tc>
          <w:tcPr>
            <w:tcW w:w="2631" w:type="dxa"/>
            <w:tcBorders>
              <w:top w:val="single" w:color="auto" w:sz="8" w:space="0"/>
              <w:left w:val="single" w:color="auto" w:sz="8"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sz w:val="21"/>
                <w:szCs w:val="21"/>
              </w:rPr>
            </w:pPr>
            <w:r>
              <w:rPr>
                <w:rFonts w:hint="eastAsia" w:ascii="方正仿宋简体" w:hAnsi="宋体" w:eastAsia="方正仿宋简体" w:cs="宋体"/>
                <w:color w:val="000000" w:themeColor="text1"/>
                <w:kern w:val="0"/>
                <w:sz w:val="21"/>
                <w:szCs w:val="21"/>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951" w:type="dxa"/>
            <w:tcBorders>
              <w:top w:val="nil"/>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sz w:val="21"/>
                <w:szCs w:val="21"/>
              </w:rPr>
            </w:pPr>
            <w:r>
              <w:rPr>
                <w:rFonts w:hint="eastAsia" w:ascii="方正仿宋简体" w:hAnsi="宋体" w:eastAsia="方正仿宋简体" w:cs="宋体"/>
                <w:color w:val="000000" w:themeColor="text1"/>
                <w:kern w:val="0"/>
                <w:sz w:val="21"/>
                <w:szCs w:val="21"/>
              </w:rPr>
              <w:t>大棚占地面积</w:t>
            </w:r>
          </w:p>
        </w:tc>
        <w:tc>
          <w:tcPr>
            <w:tcW w:w="2631" w:type="dxa"/>
            <w:tcBorders>
              <w:top w:val="nil"/>
              <w:left w:val="single" w:color="auto" w:sz="8"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ascii="方正仿宋简体" w:hAnsi="宋体" w:eastAsia="方正仿宋简体" w:cs="宋体"/>
                <w:color w:val="000000" w:themeColor="text1"/>
                <w:kern w:val="0"/>
                <w:sz w:val="21"/>
                <w:szCs w:val="21"/>
              </w:rPr>
            </w:pPr>
            <w:r>
              <w:rPr>
                <w:rFonts w:hint="eastAsia" w:ascii="方正仿宋简体" w:hAnsi="宋体" w:eastAsia="方正仿宋简体" w:cs="宋体"/>
                <w:color w:val="000000" w:themeColor="text1"/>
                <w:kern w:val="0"/>
                <w:sz w:val="21"/>
                <w:szCs w:val="21"/>
              </w:rPr>
              <w:t>73.9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951" w:type="dxa"/>
            <w:tcBorders>
              <w:top w:val="nil"/>
              <w:bottom w:val="single" w:color="auto" w:sz="12" w:space="0"/>
              <w:right w:val="single" w:color="auto" w:sz="8" w:space="0"/>
            </w:tcBorders>
            <w:vAlign w:val="center"/>
          </w:tcPr>
          <w:p>
            <w:pPr>
              <w:keepNext w:val="0"/>
              <w:keepLines w:val="0"/>
              <w:pageBreakBefore w:val="0"/>
              <w:widowControl/>
              <w:kinsoku/>
              <w:wordWrap/>
              <w:overflowPunct/>
              <w:topLinePunct w:val="0"/>
              <w:autoSpaceDE/>
              <w:autoSpaceDN/>
              <w:bidi w:val="0"/>
              <w:adjustRightInd/>
              <w:spacing w:line="600" w:lineRule="exact"/>
              <w:ind w:left="57" w:right="57"/>
              <w:jc w:val="left"/>
              <w:textAlignment w:val="auto"/>
              <w:rPr>
                <w:rFonts w:ascii="方正仿宋简体" w:hAnsi="宋体" w:eastAsia="方正仿宋简体" w:cs="宋体"/>
                <w:color w:val="000000" w:themeColor="text1"/>
                <w:kern w:val="0"/>
                <w:sz w:val="21"/>
                <w:szCs w:val="21"/>
              </w:rPr>
            </w:pPr>
            <w:r>
              <w:rPr>
                <w:rFonts w:hint="eastAsia" w:ascii="方正仿宋简体" w:hAnsi="宋体" w:eastAsia="方正仿宋简体" w:cs="宋体"/>
                <w:color w:val="000000" w:themeColor="text1"/>
                <w:kern w:val="0"/>
                <w:sz w:val="21"/>
                <w:szCs w:val="21"/>
              </w:rPr>
              <w:t>渔业养殖用房面积</w:t>
            </w:r>
          </w:p>
        </w:tc>
        <w:tc>
          <w:tcPr>
            <w:tcW w:w="2631" w:type="dxa"/>
            <w:tcBorders>
              <w:top w:val="nil"/>
              <w:left w:val="single" w:color="auto" w:sz="8" w:space="0"/>
              <w:bottom w:val="single" w:color="auto" w:sz="12"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left="57" w:right="57"/>
              <w:jc w:val="right"/>
              <w:textAlignment w:val="auto"/>
              <w:rPr>
                <w:rFonts w:hint="eastAsia" w:ascii="方正仿宋简体" w:hAnsi="宋体" w:eastAsia="方正仿宋简体" w:cs="宋体"/>
                <w:color w:val="000000" w:themeColor="text1"/>
                <w:kern w:val="0"/>
                <w:sz w:val="21"/>
                <w:szCs w:val="21"/>
                <w:lang w:val="en-US" w:eastAsia="zh-CN"/>
              </w:rPr>
            </w:pPr>
            <w:r>
              <w:rPr>
                <w:rFonts w:hint="eastAsia" w:ascii="方正仿宋简体" w:hAnsi="宋体" w:eastAsia="方正仿宋简体" w:cs="宋体"/>
                <w:color w:val="000000" w:themeColor="text1"/>
                <w:kern w:val="0"/>
                <w:sz w:val="21"/>
                <w:szCs w:val="21"/>
              </w:rPr>
              <w:t>0.</w:t>
            </w:r>
            <w:r>
              <w:rPr>
                <w:rFonts w:hint="eastAsia" w:ascii="方正仿宋简体" w:hAnsi="宋体" w:eastAsia="方正仿宋简体" w:cs="宋体"/>
                <w:color w:val="000000" w:themeColor="text1"/>
                <w:kern w:val="0"/>
                <w:sz w:val="21"/>
                <w:szCs w:val="21"/>
                <w:lang w:val="en-US" w:eastAsia="zh-CN"/>
              </w:rPr>
              <w:t>3526</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color w:val="000000" w:themeColor="text1"/>
          <w:sz w:val="32"/>
          <w:szCs w:val="32"/>
        </w:rPr>
      </w:pPr>
      <w:r>
        <w:rPr>
          <w:rFonts w:hint="eastAsia" w:ascii="方正黑体_GBK" w:hAnsi="方正黑体_GBK" w:eastAsia="方正黑体_GBK" w:cs="方正黑体_GBK"/>
          <w:color w:val="000000" w:themeColor="text1"/>
          <w:sz w:val="32"/>
          <w:szCs w:val="32"/>
        </w:rPr>
        <w:t>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1</w:t>
      </w:r>
      <w:r>
        <w:rPr>
          <w:rFonts w:hint="default" w:ascii="Times New Roman" w:hAnsi="Times New Roman" w:eastAsia="方正仿宋_GBK" w:cs="Times New Roman"/>
          <w:b/>
          <w:color w:val="000000" w:themeColor="text1"/>
          <w:sz w:val="32"/>
          <w:szCs w:val="32"/>
          <w:lang w:val="en-US" w:eastAsia="zh-CN"/>
        </w:rPr>
        <w:t>.</w:t>
      </w:r>
      <w:r>
        <w:rPr>
          <w:rFonts w:hint="default" w:ascii="Times New Roman" w:hAnsi="Times New Roman" w:eastAsia="方正仿宋_GBK" w:cs="Times New Roman"/>
          <w:b/>
          <w:color w:val="000000" w:themeColor="text1"/>
          <w:sz w:val="32"/>
          <w:szCs w:val="32"/>
        </w:rPr>
        <w:t>农业经营户：</w:t>
      </w:r>
      <w:r>
        <w:rPr>
          <w:rFonts w:hint="default" w:ascii="Times New Roman" w:hAnsi="Times New Roman" w:eastAsia="方正仿宋_GBK" w:cs="Times New Roman"/>
          <w:color w:val="000000" w:themeColor="text1"/>
          <w:sz w:val="32"/>
          <w:szCs w:val="32"/>
        </w:rPr>
        <w:t>指居住在中华人民共和国境内，从事农、林、牧、渔业及农林牧渔服务业的农业经营户，以及居住在农村，有确权（承包）土地的住户。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2.规模农业经营户：</w:t>
      </w:r>
      <w:r>
        <w:rPr>
          <w:rFonts w:hint="default" w:ascii="Times New Roman" w:hAnsi="Times New Roman" w:eastAsia="方正仿宋_GBK" w:cs="Times New Roman"/>
          <w:color w:val="000000" w:themeColor="text1"/>
          <w:sz w:val="32"/>
          <w:szCs w:val="32"/>
        </w:rPr>
        <w:t>规模农业经营户指具有较大农业经营规模，以商品化经营为主的农业经营户。一年一熟制地区露地种植农作物的土地达到100亩及以上、一年二熟及以上地区露地种植农作物的土地达到50亩及以上、设施农业的设施占地面积25亩及以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3.农业经营单位：</w:t>
      </w:r>
      <w:r>
        <w:rPr>
          <w:rFonts w:hint="default" w:ascii="Times New Roman" w:hAnsi="Times New Roman" w:eastAsia="方正仿宋_GBK" w:cs="Times New Roman"/>
          <w:color w:val="000000" w:themeColor="text1"/>
          <w:sz w:val="32"/>
          <w:szCs w:val="32"/>
        </w:rPr>
        <w:t>指中华人民共和国境内从事农业生产经营活动为主的法人单位和未注册单位，以及不以农业生产经营活动为主的法人单位或未注册单位中的农业产业活动单位。既包括主营农业的农场、林场、养殖场、农林牧渔场、农林牧渔服务业单位、具有实际农业经营活动的农民合作社；也包括国家机关、社会团体、学校、科研单位、工矿企业、村民委员会、居民委员会、基金会等单位附属的农业产业活动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4.农民合作社：</w:t>
      </w:r>
      <w:r>
        <w:rPr>
          <w:rFonts w:hint="default" w:ascii="Times New Roman" w:hAnsi="Times New Roman" w:eastAsia="方正仿宋_GBK" w:cs="Times New Roman"/>
          <w:color w:val="000000" w:themeColor="text1"/>
          <w:sz w:val="32"/>
          <w:szCs w:val="32"/>
        </w:rPr>
        <w:t>指有合作社的名称，符合《中华人民共和国农民专业合作社法》</w:t>
      </w:r>
      <w:bookmarkStart w:id="0" w:name="_GoBack"/>
      <w:bookmarkEnd w:id="0"/>
      <w:r>
        <w:rPr>
          <w:rFonts w:hint="default" w:ascii="Times New Roman" w:hAnsi="Times New Roman" w:eastAsia="方正仿宋_GBK" w:cs="Times New Roman"/>
          <w:color w:val="000000" w:themeColor="text1"/>
          <w:sz w:val="32"/>
          <w:szCs w:val="32"/>
        </w:rPr>
        <w:t>中关于合作社性质、设立条件和程序、成员权利和义务、组织机构、财务管理等要求，有农业生产经营或农林牧渔服务，名称为农民合作社的农民互助性经济组织。包括已在工商部门登记，以及虽未登记但符合上述要求的农民合作社，不包括以公司名称登记注册的股份合作制企业、社区经济合作社、供销合作社、农村信用社等。也不包括从事农业生产资料购买、农产品加工、贮藏、运输、销售等非农行业的农民合作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5.拖拉机：</w:t>
      </w:r>
      <w:r>
        <w:rPr>
          <w:rFonts w:hint="default" w:ascii="Times New Roman" w:hAnsi="Times New Roman" w:eastAsia="方正仿宋_GBK" w:cs="Times New Roman"/>
          <w:color w:val="000000" w:themeColor="text1"/>
          <w:sz w:val="32"/>
          <w:szCs w:val="32"/>
        </w:rPr>
        <w:t>指发动机额定功率在2.2千瓦（含2.2千瓦）以上的拖拉机，包括小四轮与手扶式。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6.耕整机：</w:t>
      </w:r>
      <w:r>
        <w:rPr>
          <w:rFonts w:hint="default" w:ascii="Times New Roman" w:hAnsi="Times New Roman" w:eastAsia="方正仿宋_GBK" w:cs="Times New Roman"/>
          <w:color w:val="000000" w:themeColor="text1"/>
          <w:sz w:val="32"/>
          <w:szCs w:val="32"/>
        </w:rPr>
        <w:t>指自带发动机驱动，主要从事水田、旱田耕整作业的机械，包括微耕机、田园管理机等。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7.旋耕机：</w:t>
      </w:r>
      <w:r>
        <w:rPr>
          <w:rFonts w:hint="default" w:ascii="Times New Roman" w:hAnsi="Times New Roman" w:eastAsia="方正仿宋_GBK" w:cs="Times New Roman"/>
          <w:color w:val="000000" w:themeColor="text1"/>
          <w:sz w:val="32"/>
          <w:szCs w:val="32"/>
        </w:rPr>
        <w:t>指与拖拉机配套完成耕、耙作业的耕耘机械。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8.播种机：</w:t>
      </w:r>
      <w:r>
        <w:rPr>
          <w:rFonts w:hint="default" w:ascii="Times New Roman" w:hAnsi="Times New Roman" w:eastAsia="方正仿宋_GBK" w:cs="Times New Roman"/>
          <w:color w:val="000000" w:themeColor="text1"/>
          <w:sz w:val="32"/>
          <w:szCs w:val="32"/>
        </w:rPr>
        <w:t>包括条播机、穴播机、异型种子播种机、小粒种子播种机、根茎类种子播种机、撒播机、免耕播种机等。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9.水稻插秧机：</w:t>
      </w:r>
      <w:r>
        <w:rPr>
          <w:rFonts w:hint="default" w:ascii="Times New Roman" w:hAnsi="Times New Roman" w:eastAsia="方正仿宋_GBK" w:cs="Times New Roman"/>
          <w:color w:val="000000" w:themeColor="text1"/>
          <w:sz w:val="32"/>
          <w:szCs w:val="32"/>
        </w:rPr>
        <w:t>指自带动力驱动作业，用于水稻插秧的机械。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10.联合收获机：</w:t>
      </w:r>
      <w:r>
        <w:rPr>
          <w:rFonts w:hint="default" w:ascii="Times New Roman" w:hAnsi="Times New Roman" w:eastAsia="方正仿宋_GBK" w:cs="Times New Roman"/>
          <w:color w:val="000000" w:themeColor="text1"/>
          <w:sz w:val="32"/>
          <w:szCs w:val="32"/>
        </w:rPr>
        <w:t>指能一次完成作物收获的切割（摘穗）、脱粒、分离、清选等其中多项工序的机械。包括稻麦联合收割机、玉米联合收获机。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11.机动脱粒机：</w:t>
      </w:r>
      <w:r>
        <w:rPr>
          <w:rFonts w:hint="default" w:ascii="Times New Roman" w:hAnsi="Times New Roman" w:eastAsia="方正仿宋_GBK" w:cs="Times New Roman"/>
          <w:color w:val="000000" w:themeColor="text1"/>
          <w:sz w:val="32"/>
          <w:szCs w:val="32"/>
        </w:rPr>
        <w:t>指由动力机械驱动专门进行农作物脱粒的作业机械。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12.可灌溉耕地面积：</w:t>
      </w:r>
      <w:r>
        <w:rPr>
          <w:rFonts w:hint="default" w:ascii="Times New Roman" w:hAnsi="Times New Roman" w:eastAsia="方正仿宋_GBK" w:cs="Times New Roman"/>
          <w:color w:val="000000" w:themeColor="text1"/>
          <w:sz w:val="32"/>
          <w:szCs w:val="32"/>
        </w:rPr>
        <w:t>指实际耕种的耕地面积中灌溉工程设施基本配套，有一定水源、土地较平整，一般气候条件下当年可进行正常灌溉的耕地面积。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b/>
          <w:color w:val="000000" w:themeColor="text1"/>
          <w:sz w:val="32"/>
          <w:szCs w:val="32"/>
        </w:rPr>
        <w:t>13</w:t>
      </w:r>
      <w:r>
        <w:rPr>
          <w:rFonts w:hint="default" w:ascii="Times New Roman" w:hAnsi="Times New Roman" w:eastAsia="方正仿宋_GBK" w:cs="Times New Roman"/>
          <w:b/>
          <w:color w:val="000000" w:themeColor="text1"/>
          <w:sz w:val="32"/>
          <w:szCs w:val="32"/>
          <w:lang w:eastAsia="zh-CN"/>
        </w:rPr>
        <w:t>.</w:t>
      </w:r>
      <w:r>
        <w:rPr>
          <w:rFonts w:hint="default" w:ascii="Times New Roman" w:hAnsi="Times New Roman" w:eastAsia="方正仿宋_GBK" w:cs="Times New Roman"/>
          <w:b/>
          <w:color w:val="000000" w:themeColor="text1"/>
          <w:sz w:val="32"/>
          <w:szCs w:val="32"/>
        </w:rPr>
        <w:t>温室、大棚占地面积：</w:t>
      </w:r>
      <w:r>
        <w:rPr>
          <w:rFonts w:hint="default" w:ascii="Times New Roman" w:hAnsi="Times New Roman" w:eastAsia="方正仿宋_GBK" w:cs="Times New Roman"/>
          <w:color w:val="000000" w:themeColor="text1"/>
          <w:sz w:val="32"/>
          <w:szCs w:val="32"/>
        </w:rPr>
        <w:t>由三部分组成，一是实际使用面积，指沿墙内侧的围绕面积；二是墙体面积，指设施的墙体等其他支撑体自身的占地面积；三是采光占用面积，指设施距遮光物体（其他设施、房屋等）的必要距离所占的面积。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1</w:t>
      </w:r>
      <w:r>
        <w:rPr>
          <w:rFonts w:hint="default"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 xml:space="preserve"> 部分数据因四舍五入的原因,存在着与分项合计不等的情况。</w:t>
      </w:r>
    </w:p>
    <w:p>
      <w:pPr>
        <w:keepNext w:val="0"/>
        <w:keepLines w:val="0"/>
        <w:pageBreakBefore w:val="0"/>
        <w:widowControl/>
        <w:tabs>
          <w:tab w:val="left" w:pos="6937"/>
        </w:tabs>
        <w:kinsoku/>
        <w:wordWrap/>
        <w:overflowPunct/>
        <w:topLinePunct w:val="0"/>
        <w:autoSpaceDE/>
        <w:autoSpaceDN/>
        <w:bidi w:val="0"/>
        <w:adjustRightInd/>
        <w:snapToGrid w:val="0"/>
        <w:spacing w:line="580" w:lineRule="exact"/>
        <w:ind w:left="0" w:leftChars="0" w:right="0" w:rightChars="0" w:firstLine="615"/>
        <w:jc w:val="left"/>
        <w:textAlignment w:val="auto"/>
        <w:rPr>
          <w:rFonts w:ascii="楷体" w:hAnsi="楷体" w:eastAsia="楷体"/>
          <w:sz w:val="30"/>
          <w:szCs w:val="30"/>
        </w:rPr>
      </w:pPr>
      <w:r>
        <w:rPr>
          <w:rFonts w:ascii="楷体" w:hAnsi="楷体" w:eastAsia="楷体"/>
          <w:sz w:val="30"/>
          <w:szCs w:val="30"/>
        </w:rPr>
        <w:tab/>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Fonts w:cs="Times New Roman"/>
      </w:rPr>
    </w:pPr>
    <w:r>
      <w:rPr>
        <w:rStyle w:val="8"/>
      </w:rPr>
      <w:fldChar w:fldCharType="begin"/>
    </w:r>
    <w:r>
      <w:rPr>
        <w:rStyle w:val="8"/>
      </w:rPr>
      <w:instrText xml:space="preserve">PAGE  </w:instrText>
    </w:r>
    <w:r>
      <w:rPr>
        <w:rStyle w:val="8"/>
      </w:rPr>
      <w:fldChar w:fldCharType="separate"/>
    </w:r>
    <w:r>
      <w:rPr>
        <w:rStyle w:val="8"/>
      </w:rPr>
      <w:t>6</w:t>
    </w:r>
    <w:r>
      <w:rPr>
        <w:rStyle w:val="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E37CF"/>
    <w:rsid w:val="00001B2B"/>
    <w:rsid w:val="000022D3"/>
    <w:rsid w:val="00002577"/>
    <w:rsid w:val="000078CA"/>
    <w:rsid w:val="0001415D"/>
    <w:rsid w:val="00017933"/>
    <w:rsid w:val="00020376"/>
    <w:rsid w:val="00021E98"/>
    <w:rsid w:val="00030033"/>
    <w:rsid w:val="000372F7"/>
    <w:rsid w:val="0004099F"/>
    <w:rsid w:val="00041CD7"/>
    <w:rsid w:val="00042114"/>
    <w:rsid w:val="00046967"/>
    <w:rsid w:val="00051D3E"/>
    <w:rsid w:val="00052473"/>
    <w:rsid w:val="0005290F"/>
    <w:rsid w:val="000546EE"/>
    <w:rsid w:val="00060DD4"/>
    <w:rsid w:val="00061998"/>
    <w:rsid w:val="0006367A"/>
    <w:rsid w:val="0006384D"/>
    <w:rsid w:val="00073A63"/>
    <w:rsid w:val="000770EC"/>
    <w:rsid w:val="00080589"/>
    <w:rsid w:val="000811A0"/>
    <w:rsid w:val="00096C9F"/>
    <w:rsid w:val="00097DB9"/>
    <w:rsid w:val="000A0055"/>
    <w:rsid w:val="000B0A49"/>
    <w:rsid w:val="000B1969"/>
    <w:rsid w:val="000B2C0E"/>
    <w:rsid w:val="000B4D45"/>
    <w:rsid w:val="000B6231"/>
    <w:rsid w:val="000C21E8"/>
    <w:rsid w:val="000C2C48"/>
    <w:rsid w:val="000C6A0D"/>
    <w:rsid w:val="000D090C"/>
    <w:rsid w:val="000D0BF1"/>
    <w:rsid w:val="000D1DA6"/>
    <w:rsid w:val="000D3003"/>
    <w:rsid w:val="000E03F5"/>
    <w:rsid w:val="000E0DEB"/>
    <w:rsid w:val="000E20A7"/>
    <w:rsid w:val="000E5440"/>
    <w:rsid w:val="00101E91"/>
    <w:rsid w:val="00103788"/>
    <w:rsid w:val="00104384"/>
    <w:rsid w:val="001065EA"/>
    <w:rsid w:val="00106C3B"/>
    <w:rsid w:val="00107D94"/>
    <w:rsid w:val="001124F5"/>
    <w:rsid w:val="00113203"/>
    <w:rsid w:val="001143BA"/>
    <w:rsid w:val="0011516B"/>
    <w:rsid w:val="001153E3"/>
    <w:rsid w:val="00120854"/>
    <w:rsid w:val="001225E1"/>
    <w:rsid w:val="0012304D"/>
    <w:rsid w:val="0012560C"/>
    <w:rsid w:val="001269AB"/>
    <w:rsid w:val="00127028"/>
    <w:rsid w:val="0013444C"/>
    <w:rsid w:val="00135872"/>
    <w:rsid w:val="00137AC9"/>
    <w:rsid w:val="00144BC1"/>
    <w:rsid w:val="001454E6"/>
    <w:rsid w:val="00145F64"/>
    <w:rsid w:val="0014709A"/>
    <w:rsid w:val="001531A6"/>
    <w:rsid w:val="00156A91"/>
    <w:rsid w:val="00156D1B"/>
    <w:rsid w:val="0015748C"/>
    <w:rsid w:val="00167DC5"/>
    <w:rsid w:val="00170412"/>
    <w:rsid w:val="00170E83"/>
    <w:rsid w:val="00173734"/>
    <w:rsid w:val="00175EF1"/>
    <w:rsid w:val="00183B97"/>
    <w:rsid w:val="00183CE1"/>
    <w:rsid w:val="00185081"/>
    <w:rsid w:val="00191EAD"/>
    <w:rsid w:val="00193C7C"/>
    <w:rsid w:val="00194085"/>
    <w:rsid w:val="001953A8"/>
    <w:rsid w:val="001A6A26"/>
    <w:rsid w:val="001A6CD5"/>
    <w:rsid w:val="001B0069"/>
    <w:rsid w:val="001B1BD2"/>
    <w:rsid w:val="001B1DCF"/>
    <w:rsid w:val="001B2B97"/>
    <w:rsid w:val="001B57B2"/>
    <w:rsid w:val="001B75A4"/>
    <w:rsid w:val="001C0FD5"/>
    <w:rsid w:val="001C2546"/>
    <w:rsid w:val="001D0170"/>
    <w:rsid w:val="001D5E8B"/>
    <w:rsid w:val="001E1370"/>
    <w:rsid w:val="001E22E9"/>
    <w:rsid w:val="001E25FE"/>
    <w:rsid w:val="001E7371"/>
    <w:rsid w:val="001F1497"/>
    <w:rsid w:val="001F2BD5"/>
    <w:rsid w:val="001F6220"/>
    <w:rsid w:val="001F7014"/>
    <w:rsid w:val="00200389"/>
    <w:rsid w:val="00200DD9"/>
    <w:rsid w:val="0020465A"/>
    <w:rsid w:val="002050F0"/>
    <w:rsid w:val="002100DD"/>
    <w:rsid w:val="0021017C"/>
    <w:rsid w:val="00211C41"/>
    <w:rsid w:val="00215870"/>
    <w:rsid w:val="00216E9D"/>
    <w:rsid w:val="00217CAD"/>
    <w:rsid w:val="00222FDD"/>
    <w:rsid w:val="00226F67"/>
    <w:rsid w:val="00232CFD"/>
    <w:rsid w:val="00233F54"/>
    <w:rsid w:val="00235C52"/>
    <w:rsid w:val="0023608F"/>
    <w:rsid w:val="00240897"/>
    <w:rsid w:val="00240B73"/>
    <w:rsid w:val="002426F7"/>
    <w:rsid w:val="00253047"/>
    <w:rsid w:val="002578FE"/>
    <w:rsid w:val="00261C56"/>
    <w:rsid w:val="00263CDD"/>
    <w:rsid w:val="00264EF8"/>
    <w:rsid w:val="002757C1"/>
    <w:rsid w:val="002844A6"/>
    <w:rsid w:val="0028622F"/>
    <w:rsid w:val="002A1FFF"/>
    <w:rsid w:val="002A23DD"/>
    <w:rsid w:val="002B1E15"/>
    <w:rsid w:val="002B3674"/>
    <w:rsid w:val="002B62C7"/>
    <w:rsid w:val="002B7D38"/>
    <w:rsid w:val="002C5D9F"/>
    <w:rsid w:val="002C646A"/>
    <w:rsid w:val="002C65EF"/>
    <w:rsid w:val="002D4611"/>
    <w:rsid w:val="002D5FA6"/>
    <w:rsid w:val="002D7BE1"/>
    <w:rsid w:val="002E2234"/>
    <w:rsid w:val="002E2DC9"/>
    <w:rsid w:val="002E5A98"/>
    <w:rsid w:val="002E5DB1"/>
    <w:rsid w:val="002E72F2"/>
    <w:rsid w:val="002E7533"/>
    <w:rsid w:val="002E7984"/>
    <w:rsid w:val="002F01B9"/>
    <w:rsid w:val="002F3B50"/>
    <w:rsid w:val="002F568D"/>
    <w:rsid w:val="002F5CD5"/>
    <w:rsid w:val="00311C39"/>
    <w:rsid w:val="00312150"/>
    <w:rsid w:val="00314902"/>
    <w:rsid w:val="00314DA7"/>
    <w:rsid w:val="003150CA"/>
    <w:rsid w:val="00317F1C"/>
    <w:rsid w:val="003200AB"/>
    <w:rsid w:val="003216BF"/>
    <w:rsid w:val="00322BA7"/>
    <w:rsid w:val="00323483"/>
    <w:rsid w:val="0032764B"/>
    <w:rsid w:val="00327684"/>
    <w:rsid w:val="00327C6E"/>
    <w:rsid w:val="003325E7"/>
    <w:rsid w:val="00336DA0"/>
    <w:rsid w:val="0034157C"/>
    <w:rsid w:val="00343EB8"/>
    <w:rsid w:val="00366039"/>
    <w:rsid w:val="00367896"/>
    <w:rsid w:val="003709AC"/>
    <w:rsid w:val="0037135B"/>
    <w:rsid w:val="00371474"/>
    <w:rsid w:val="003726C6"/>
    <w:rsid w:val="003775E7"/>
    <w:rsid w:val="00380C22"/>
    <w:rsid w:val="003841DD"/>
    <w:rsid w:val="00384603"/>
    <w:rsid w:val="003850CF"/>
    <w:rsid w:val="003924BB"/>
    <w:rsid w:val="0039341C"/>
    <w:rsid w:val="003A1F98"/>
    <w:rsid w:val="003A53FF"/>
    <w:rsid w:val="003B1907"/>
    <w:rsid w:val="003B29BF"/>
    <w:rsid w:val="003C06CE"/>
    <w:rsid w:val="003C165A"/>
    <w:rsid w:val="003C1676"/>
    <w:rsid w:val="003D0ADF"/>
    <w:rsid w:val="003D21DA"/>
    <w:rsid w:val="003D3B4F"/>
    <w:rsid w:val="003D4062"/>
    <w:rsid w:val="003E7A44"/>
    <w:rsid w:val="003F54E6"/>
    <w:rsid w:val="00402360"/>
    <w:rsid w:val="004032D2"/>
    <w:rsid w:val="00403AF4"/>
    <w:rsid w:val="00403F49"/>
    <w:rsid w:val="004063EE"/>
    <w:rsid w:val="00414234"/>
    <w:rsid w:val="0041574F"/>
    <w:rsid w:val="004163F5"/>
    <w:rsid w:val="004177B2"/>
    <w:rsid w:val="00417C24"/>
    <w:rsid w:val="004204C2"/>
    <w:rsid w:val="00420B19"/>
    <w:rsid w:val="004210DC"/>
    <w:rsid w:val="00421A99"/>
    <w:rsid w:val="004276F2"/>
    <w:rsid w:val="0043344D"/>
    <w:rsid w:val="00434D88"/>
    <w:rsid w:val="00437625"/>
    <w:rsid w:val="0044173D"/>
    <w:rsid w:val="0045122E"/>
    <w:rsid w:val="004521EE"/>
    <w:rsid w:val="00456DC1"/>
    <w:rsid w:val="00462934"/>
    <w:rsid w:val="00465910"/>
    <w:rsid w:val="00466C1A"/>
    <w:rsid w:val="004702ED"/>
    <w:rsid w:val="0047406D"/>
    <w:rsid w:val="00474238"/>
    <w:rsid w:val="0048159D"/>
    <w:rsid w:val="00483E7D"/>
    <w:rsid w:val="00486F87"/>
    <w:rsid w:val="00487C93"/>
    <w:rsid w:val="00491756"/>
    <w:rsid w:val="00493ACA"/>
    <w:rsid w:val="004970F5"/>
    <w:rsid w:val="004A71F7"/>
    <w:rsid w:val="004B3A0B"/>
    <w:rsid w:val="004B4DF2"/>
    <w:rsid w:val="004B6057"/>
    <w:rsid w:val="004B6E85"/>
    <w:rsid w:val="004B7B34"/>
    <w:rsid w:val="004C2B88"/>
    <w:rsid w:val="004C6C74"/>
    <w:rsid w:val="004C74F0"/>
    <w:rsid w:val="004D028C"/>
    <w:rsid w:val="004D0340"/>
    <w:rsid w:val="004D444E"/>
    <w:rsid w:val="004D66C9"/>
    <w:rsid w:val="004E0674"/>
    <w:rsid w:val="004E16D2"/>
    <w:rsid w:val="004E1C1F"/>
    <w:rsid w:val="004F08ED"/>
    <w:rsid w:val="004F0A2C"/>
    <w:rsid w:val="004F2597"/>
    <w:rsid w:val="004F43E9"/>
    <w:rsid w:val="004F595D"/>
    <w:rsid w:val="004F70E2"/>
    <w:rsid w:val="00503A87"/>
    <w:rsid w:val="0050448C"/>
    <w:rsid w:val="005067B2"/>
    <w:rsid w:val="00507114"/>
    <w:rsid w:val="00507AD3"/>
    <w:rsid w:val="0051151E"/>
    <w:rsid w:val="00512898"/>
    <w:rsid w:val="00517207"/>
    <w:rsid w:val="005177EC"/>
    <w:rsid w:val="00530CE9"/>
    <w:rsid w:val="0053144F"/>
    <w:rsid w:val="005340A7"/>
    <w:rsid w:val="005404EE"/>
    <w:rsid w:val="00542B8D"/>
    <w:rsid w:val="00543147"/>
    <w:rsid w:val="005441DD"/>
    <w:rsid w:val="00545F3A"/>
    <w:rsid w:val="00546511"/>
    <w:rsid w:val="005529E4"/>
    <w:rsid w:val="00552C14"/>
    <w:rsid w:val="00553D4F"/>
    <w:rsid w:val="005610BD"/>
    <w:rsid w:val="0056143F"/>
    <w:rsid w:val="0056262A"/>
    <w:rsid w:val="005627EB"/>
    <w:rsid w:val="005636E2"/>
    <w:rsid w:val="005644F2"/>
    <w:rsid w:val="00570E69"/>
    <w:rsid w:val="00571884"/>
    <w:rsid w:val="00574622"/>
    <w:rsid w:val="0057522F"/>
    <w:rsid w:val="00577920"/>
    <w:rsid w:val="00577A33"/>
    <w:rsid w:val="00577E66"/>
    <w:rsid w:val="005800F5"/>
    <w:rsid w:val="00580CB9"/>
    <w:rsid w:val="00585475"/>
    <w:rsid w:val="0058777C"/>
    <w:rsid w:val="005905D0"/>
    <w:rsid w:val="00590B61"/>
    <w:rsid w:val="00596485"/>
    <w:rsid w:val="0059708E"/>
    <w:rsid w:val="005A0646"/>
    <w:rsid w:val="005A14A7"/>
    <w:rsid w:val="005A2F2A"/>
    <w:rsid w:val="005A47C8"/>
    <w:rsid w:val="005B4306"/>
    <w:rsid w:val="005B65B4"/>
    <w:rsid w:val="005C509A"/>
    <w:rsid w:val="005C57A1"/>
    <w:rsid w:val="005C652A"/>
    <w:rsid w:val="005D2B3D"/>
    <w:rsid w:val="005D3329"/>
    <w:rsid w:val="005D3C5E"/>
    <w:rsid w:val="005D50C0"/>
    <w:rsid w:val="005E0EED"/>
    <w:rsid w:val="005E28CC"/>
    <w:rsid w:val="005E33F1"/>
    <w:rsid w:val="005E61C8"/>
    <w:rsid w:val="005F1238"/>
    <w:rsid w:val="005F1C03"/>
    <w:rsid w:val="005F275E"/>
    <w:rsid w:val="005F3CB4"/>
    <w:rsid w:val="005F405A"/>
    <w:rsid w:val="005F65C6"/>
    <w:rsid w:val="005F7508"/>
    <w:rsid w:val="00603614"/>
    <w:rsid w:val="00603766"/>
    <w:rsid w:val="00603E3C"/>
    <w:rsid w:val="00606628"/>
    <w:rsid w:val="006110D5"/>
    <w:rsid w:val="00611E9B"/>
    <w:rsid w:val="00612F8F"/>
    <w:rsid w:val="00614C99"/>
    <w:rsid w:val="00614D30"/>
    <w:rsid w:val="00621E45"/>
    <w:rsid w:val="00622710"/>
    <w:rsid w:val="0062336B"/>
    <w:rsid w:val="00625968"/>
    <w:rsid w:val="006305A8"/>
    <w:rsid w:val="00634EED"/>
    <w:rsid w:val="006350D9"/>
    <w:rsid w:val="006367E0"/>
    <w:rsid w:val="006404A0"/>
    <w:rsid w:val="00640551"/>
    <w:rsid w:val="00641A0C"/>
    <w:rsid w:val="0064234E"/>
    <w:rsid w:val="00643818"/>
    <w:rsid w:val="006456A2"/>
    <w:rsid w:val="00653AF7"/>
    <w:rsid w:val="00660DE4"/>
    <w:rsid w:val="00661228"/>
    <w:rsid w:val="006625C8"/>
    <w:rsid w:val="006653A4"/>
    <w:rsid w:val="0067402B"/>
    <w:rsid w:val="006740AE"/>
    <w:rsid w:val="0067489F"/>
    <w:rsid w:val="006753CE"/>
    <w:rsid w:val="00677C6C"/>
    <w:rsid w:val="00681053"/>
    <w:rsid w:val="00681DFC"/>
    <w:rsid w:val="006820A2"/>
    <w:rsid w:val="00683F7E"/>
    <w:rsid w:val="00684F0A"/>
    <w:rsid w:val="00687360"/>
    <w:rsid w:val="00690BBB"/>
    <w:rsid w:val="0069203D"/>
    <w:rsid w:val="00693222"/>
    <w:rsid w:val="0069537F"/>
    <w:rsid w:val="006A0482"/>
    <w:rsid w:val="006A4C2D"/>
    <w:rsid w:val="006A4EB6"/>
    <w:rsid w:val="006A567B"/>
    <w:rsid w:val="006B0A2F"/>
    <w:rsid w:val="006B3444"/>
    <w:rsid w:val="006C26FD"/>
    <w:rsid w:val="006C4D81"/>
    <w:rsid w:val="006C5618"/>
    <w:rsid w:val="006D1B61"/>
    <w:rsid w:val="006D3BDC"/>
    <w:rsid w:val="006D48F6"/>
    <w:rsid w:val="006D61F7"/>
    <w:rsid w:val="006E0A82"/>
    <w:rsid w:val="006E21AE"/>
    <w:rsid w:val="006E278C"/>
    <w:rsid w:val="006E6C4D"/>
    <w:rsid w:val="007010DC"/>
    <w:rsid w:val="00705471"/>
    <w:rsid w:val="007069CB"/>
    <w:rsid w:val="0071201E"/>
    <w:rsid w:val="0071537B"/>
    <w:rsid w:val="00716220"/>
    <w:rsid w:val="00716303"/>
    <w:rsid w:val="00720916"/>
    <w:rsid w:val="007215DD"/>
    <w:rsid w:val="00724AFC"/>
    <w:rsid w:val="0073095B"/>
    <w:rsid w:val="00731B35"/>
    <w:rsid w:val="00733DBC"/>
    <w:rsid w:val="00734928"/>
    <w:rsid w:val="00737D8B"/>
    <w:rsid w:val="00743046"/>
    <w:rsid w:val="00743E68"/>
    <w:rsid w:val="00745F71"/>
    <w:rsid w:val="00746491"/>
    <w:rsid w:val="0075043C"/>
    <w:rsid w:val="00752FCF"/>
    <w:rsid w:val="007565AD"/>
    <w:rsid w:val="00757C87"/>
    <w:rsid w:val="00761260"/>
    <w:rsid w:val="0076337E"/>
    <w:rsid w:val="00763B81"/>
    <w:rsid w:val="00763EA9"/>
    <w:rsid w:val="007651D6"/>
    <w:rsid w:val="007653AF"/>
    <w:rsid w:val="007669CA"/>
    <w:rsid w:val="00772741"/>
    <w:rsid w:val="00775545"/>
    <w:rsid w:val="00776EB3"/>
    <w:rsid w:val="007800A9"/>
    <w:rsid w:val="007815B4"/>
    <w:rsid w:val="00784B0C"/>
    <w:rsid w:val="00785E87"/>
    <w:rsid w:val="00786397"/>
    <w:rsid w:val="00790628"/>
    <w:rsid w:val="00790F9B"/>
    <w:rsid w:val="00794A1D"/>
    <w:rsid w:val="00794F68"/>
    <w:rsid w:val="00795DCD"/>
    <w:rsid w:val="007A1E48"/>
    <w:rsid w:val="007A3C29"/>
    <w:rsid w:val="007B716B"/>
    <w:rsid w:val="007C776E"/>
    <w:rsid w:val="007C7C17"/>
    <w:rsid w:val="007D5F8B"/>
    <w:rsid w:val="007E0935"/>
    <w:rsid w:val="007E0C39"/>
    <w:rsid w:val="007E15F0"/>
    <w:rsid w:val="007E195F"/>
    <w:rsid w:val="007E3464"/>
    <w:rsid w:val="007E5961"/>
    <w:rsid w:val="007F39FC"/>
    <w:rsid w:val="007F4FE7"/>
    <w:rsid w:val="00823023"/>
    <w:rsid w:val="008245C1"/>
    <w:rsid w:val="0082469A"/>
    <w:rsid w:val="008262F3"/>
    <w:rsid w:val="008265EA"/>
    <w:rsid w:val="00827333"/>
    <w:rsid w:val="0082747C"/>
    <w:rsid w:val="0083200C"/>
    <w:rsid w:val="00834335"/>
    <w:rsid w:val="00834E96"/>
    <w:rsid w:val="00843734"/>
    <w:rsid w:val="008449BE"/>
    <w:rsid w:val="00844CB2"/>
    <w:rsid w:val="008461BF"/>
    <w:rsid w:val="00846882"/>
    <w:rsid w:val="008503C5"/>
    <w:rsid w:val="00851819"/>
    <w:rsid w:val="00852C2D"/>
    <w:rsid w:val="00852F06"/>
    <w:rsid w:val="00854E4D"/>
    <w:rsid w:val="008571B7"/>
    <w:rsid w:val="00862571"/>
    <w:rsid w:val="00863249"/>
    <w:rsid w:val="00864A75"/>
    <w:rsid w:val="0086567B"/>
    <w:rsid w:val="0087056F"/>
    <w:rsid w:val="00871476"/>
    <w:rsid w:val="00872555"/>
    <w:rsid w:val="00873495"/>
    <w:rsid w:val="00875832"/>
    <w:rsid w:val="00875ACC"/>
    <w:rsid w:val="008773AB"/>
    <w:rsid w:val="00881FB9"/>
    <w:rsid w:val="008848FA"/>
    <w:rsid w:val="00885BEC"/>
    <w:rsid w:val="00887F74"/>
    <w:rsid w:val="008909FF"/>
    <w:rsid w:val="00892AAD"/>
    <w:rsid w:val="008A1E75"/>
    <w:rsid w:val="008A2A57"/>
    <w:rsid w:val="008A2B7B"/>
    <w:rsid w:val="008A3765"/>
    <w:rsid w:val="008A6393"/>
    <w:rsid w:val="008A6FFE"/>
    <w:rsid w:val="008A76F2"/>
    <w:rsid w:val="008B0373"/>
    <w:rsid w:val="008B6F02"/>
    <w:rsid w:val="008C1997"/>
    <w:rsid w:val="008C3223"/>
    <w:rsid w:val="008C4917"/>
    <w:rsid w:val="008C61BD"/>
    <w:rsid w:val="008D0579"/>
    <w:rsid w:val="008D4687"/>
    <w:rsid w:val="008E0860"/>
    <w:rsid w:val="008E0958"/>
    <w:rsid w:val="008E176E"/>
    <w:rsid w:val="008E76C1"/>
    <w:rsid w:val="008F3FD0"/>
    <w:rsid w:val="008F757A"/>
    <w:rsid w:val="008F7932"/>
    <w:rsid w:val="00904B3B"/>
    <w:rsid w:val="00906332"/>
    <w:rsid w:val="009111CD"/>
    <w:rsid w:val="00915784"/>
    <w:rsid w:val="00930145"/>
    <w:rsid w:val="00931203"/>
    <w:rsid w:val="009313F6"/>
    <w:rsid w:val="00933352"/>
    <w:rsid w:val="00933382"/>
    <w:rsid w:val="00934232"/>
    <w:rsid w:val="009346C5"/>
    <w:rsid w:val="009400CD"/>
    <w:rsid w:val="00943931"/>
    <w:rsid w:val="0094719C"/>
    <w:rsid w:val="00952098"/>
    <w:rsid w:val="00952D4F"/>
    <w:rsid w:val="00953145"/>
    <w:rsid w:val="00953D2A"/>
    <w:rsid w:val="00956DC3"/>
    <w:rsid w:val="0096147B"/>
    <w:rsid w:val="009621CA"/>
    <w:rsid w:val="00962C1F"/>
    <w:rsid w:val="00971343"/>
    <w:rsid w:val="0097160D"/>
    <w:rsid w:val="009771F3"/>
    <w:rsid w:val="00977F3A"/>
    <w:rsid w:val="00983158"/>
    <w:rsid w:val="00984F85"/>
    <w:rsid w:val="0098728C"/>
    <w:rsid w:val="00992A5B"/>
    <w:rsid w:val="00992D7F"/>
    <w:rsid w:val="00995070"/>
    <w:rsid w:val="009A02B1"/>
    <w:rsid w:val="009A2B57"/>
    <w:rsid w:val="009C5F75"/>
    <w:rsid w:val="009D3543"/>
    <w:rsid w:val="009E1E30"/>
    <w:rsid w:val="009E4E27"/>
    <w:rsid w:val="009F00EC"/>
    <w:rsid w:val="009F296A"/>
    <w:rsid w:val="009F2C6F"/>
    <w:rsid w:val="00A02930"/>
    <w:rsid w:val="00A05EA2"/>
    <w:rsid w:val="00A0768F"/>
    <w:rsid w:val="00A10C44"/>
    <w:rsid w:val="00A12B17"/>
    <w:rsid w:val="00A15194"/>
    <w:rsid w:val="00A169FF"/>
    <w:rsid w:val="00A22583"/>
    <w:rsid w:val="00A24E47"/>
    <w:rsid w:val="00A31802"/>
    <w:rsid w:val="00A32FE7"/>
    <w:rsid w:val="00A44608"/>
    <w:rsid w:val="00A53672"/>
    <w:rsid w:val="00A53D25"/>
    <w:rsid w:val="00A54319"/>
    <w:rsid w:val="00A54EE6"/>
    <w:rsid w:val="00A55C98"/>
    <w:rsid w:val="00A60135"/>
    <w:rsid w:val="00A618C4"/>
    <w:rsid w:val="00A64850"/>
    <w:rsid w:val="00A71B62"/>
    <w:rsid w:val="00A83B32"/>
    <w:rsid w:val="00A94FFE"/>
    <w:rsid w:val="00A9521B"/>
    <w:rsid w:val="00A96BD4"/>
    <w:rsid w:val="00AA2EA4"/>
    <w:rsid w:val="00AA47C9"/>
    <w:rsid w:val="00AA5CB4"/>
    <w:rsid w:val="00AB3942"/>
    <w:rsid w:val="00AB56D5"/>
    <w:rsid w:val="00AB5DF1"/>
    <w:rsid w:val="00AB61B6"/>
    <w:rsid w:val="00AB6AB4"/>
    <w:rsid w:val="00AC01CA"/>
    <w:rsid w:val="00AC21CB"/>
    <w:rsid w:val="00AC4019"/>
    <w:rsid w:val="00AC79CF"/>
    <w:rsid w:val="00AD1452"/>
    <w:rsid w:val="00AD1D75"/>
    <w:rsid w:val="00AD1F11"/>
    <w:rsid w:val="00AD3C3A"/>
    <w:rsid w:val="00AD4A7F"/>
    <w:rsid w:val="00AD51BA"/>
    <w:rsid w:val="00AD648D"/>
    <w:rsid w:val="00AD6DB6"/>
    <w:rsid w:val="00AD78C2"/>
    <w:rsid w:val="00AE413A"/>
    <w:rsid w:val="00AE493C"/>
    <w:rsid w:val="00AE4E8A"/>
    <w:rsid w:val="00AE7398"/>
    <w:rsid w:val="00AF2546"/>
    <w:rsid w:val="00AF2D74"/>
    <w:rsid w:val="00AF56B8"/>
    <w:rsid w:val="00B042E8"/>
    <w:rsid w:val="00B14238"/>
    <w:rsid w:val="00B17193"/>
    <w:rsid w:val="00B200A2"/>
    <w:rsid w:val="00B21B9D"/>
    <w:rsid w:val="00B25133"/>
    <w:rsid w:val="00B2573E"/>
    <w:rsid w:val="00B32FD0"/>
    <w:rsid w:val="00B33915"/>
    <w:rsid w:val="00B344DC"/>
    <w:rsid w:val="00B3725F"/>
    <w:rsid w:val="00B43C0A"/>
    <w:rsid w:val="00B456B3"/>
    <w:rsid w:val="00B529A9"/>
    <w:rsid w:val="00B53023"/>
    <w:rsid w:val="00B538AD"/>
    <w:rsid w:val="00B53F46"/>
    <w:rsid w:val="00B54F53"/>
    <w:rsid w:val="00B568CB"/>
    <w:rsid w:val="00B57ACD"/>
    <w:rsid w:val="00B601F3"/>
    <w:rsid w:val="00B606B8"/>
    <w:rsid w:val="00B618FF"/>
    <w:rsid w:val="00B660D8"/>
    <w:rsid w:val="00B706C2"/>
    <w:rsid w:val="00B746AC"/>
    <w:rsid w:val="00B76375"/>
    <w:rsid w:val="00B76B64"/>
    <w:rsid w:val="00B77C12"/>
    <w:rsid w:val="00B77EFC"/>
    <w:rsid w:val="00B87A19"/>
    <w:rsid w:val="00B9080A"/>
    <w:rsid w:val="00B966F9"/>
    <w:rsid w:val="00BB2514"/>
    <w:rsid w:val="00BB5151"/>
    <w:rsid w:val="00BB5A28"/>
    <w:rsid w:val="00BB6630"/>
    <w:rsid w:val="00BC2C7E"/>
    <w:rsid w:val="00BD1D21"/>
    <w:rsid w:val="00BD3856"/>
    <w:rsid w:val="00BD64C3"/>
    <w:rsid w:val="00BD71A6"/>
    <w:rsid w:val="00BE1E8F"/>
    <w:rsid w:val="00BE441F"/>
    <w:rsid w:val="00BE70F4"/>
    <w:rsid w:val="00BE75F4"/>
    <w:rsid w:val="00BE7802"/>
    <w:rsid w:val="00BE7B87"/>
    <w:rsid w:val="00BF2429"/>
    <w:rsid w:val="00BF2B1D"/>
    <w:rsid w:val="00BF69FF"/>
    <w:rsid w:val="00C01C52"/>
    <w:rsid w:val="00C02A7C"/>
    <w:rsid w:val="00C042AB"/>
    <w:rsid w:val="00C0792F"/>
    <w:rsid w:val="00C10217"/>
    <w:rsid w:val="00C116AB"/>
    <w:rsid w:val="00C132EC"/>
    <w:rsid w:val="00C23635"/>
    <w:rsid w:val="00C23C52"/>
    <w:rsid w:val="00C25711"/>
    <w:rsid w:val="00C27B67"/>
    <w:rsid w:val="00C32549"/>
    <w:rsid w:val="00C32E20"/>
    <w:rsid w:val="00C33FE2"/>
    <w:rsid w:val="00C34399"/>
    <w:rsid w:val="00C3451F"/>
    <w:rsid w:val="00C34774"/>
    <w:rsid w:val="00C50829"/>
    <w:rsid w:val="00C510DA"/>
    <w:rsid w:val="00C52067"/>
    <w:rsid w:val="00C55201"/>
    <w:rsid w:val="00C56027"/>
    <w:rsid w:val="00C603D6"/>
    <w:rsid w:val="00C61447"/>
    <w:rsid w:val="00C74345"/>
    <w:rsid w:val="00C74ED6"/>
    <w:rsid w:val="00C81BD0"/>
    <w:rsid w:val="00C82BF7"/>
    <w:rsid w:val="00C83232"/>
    <w:rsid w:val="00C92A74"/>
    <w:rsid w:val="00C96618"/>
    <w:rsid w:val="00C96CE0"/>
    <w:rsid w:val="00C97B1A"/>
    <w:rsid w:val="00CA0DC2"/>
    <w:rsid w:val="00CA155B"/>
    <w:rsid w:val="00CA3347"/>
    <w:rsid w:val="00CA3E77"/>
    <w:rsid w:val="00CA5B3F"/>
    <w:rsid w:val="00CA69CC"/>
    <w:rsid w:val="00CC088A"/>
    <w:rsid w:val="00CC74BF"/>
    <w:rsid w:val="00CD245D"/>
    <w:rsid w:val="00CD4976"/>
    <w:rsid w:val="00CD62E5"/>
    <w:rsid w:val="00CD6668"/>
    <w:rsid w:val="00CE1B05"/>
    <w:rsid w:val="00CE3487"/>
    <w:rsid w:val="00CE4401"/>
    <w:rsid w:val="00CE52A3"/>
    <w:rsid w:val="00CF0054"/>
    <w:rsid w:val="00CF1BF8"/>
    <w:rsid w:val="00CF2C26"/>
    <w:rsid w:val="00CF418D"/>
    <w:rsid w:val="00CF4F95"/>
    <w:rsid w:val="00CF7EFC"/>
    <w:rsid w:val="00D00B16"/>
    <w:rsid w:val="00D02087"/>
    <w:rsid w:val="00D04C8E"/>
    <w:rsid w:val="00D06847"/>
    <w:rsid w:val="00D07453"/>
    <w:rsid w:val="00D101F9"/>
    <w:rsid w:val="00D10BE6"/>
    <w:rsid w:val="00D11033"/>
    <w:rsid w:val="00D126F5"/>
    <w:rsid w:val="00D13BFD"/>
    <w:rsid w:val="00D13D84"/>
    <w:rsid w:val="00D147ED"/>
    <w:rsid w:val="00D1566C"/>
    <w:rsid w:val="00D20E0C"/>
    <w:rsid w:val="00D24F13"/>
    <w:rsid w:val="00D30505"/>
    <w:rsid w:val="00D415CD"/>
    <w:rsid w:val="00D431B8"/>
    <w:rsid w:val="00D44255"/>
    <w:rsid w:val="00D44D34"/>
    <w:rsid w:val="00D46114"/>
    <w:rsid w:val="00D500ED"/>
    <w:rsid w:val="00D50382"/>
    <w:rsid w:val="00D53A5A"/>
    <w:rsid w:val="00D53EB2"/>
    <w:rsid w:val="00D54D42"/>
    <w:rsid w:val="00D56240"/>
    <w:rsid w:val="00D57142"/>
    <w:rsid w:val="00D5775E"/>
    <w:rsid w:val="00D61E57"/>
    <w:rsid w:val="00D71E76"/>
    <w:rsid w:val="00D765A8"/>
    <w:rsid w:val="00D826D7"/>
    <w:rsid w:val="00D94473"/>
    <w:rsid w:val="00D945AE"/>
    <w:rsid w:val="00D967B6"/>
    <w:rsid w:val="00D968E7"/>
    <w:rsid w:val="00DA2158"/>
    <w:rsid w:val="00DB09DD"/>
    <w:rsid w:val="00DB5C0B"/>
    <w:rsid w:val="00DB7E28"/>
    <w:rsid w:val="00DC03A8"/>
    <w:rsid w:val="00DC68BB"/>
    <w:rsid w:val="00DD29C0"/>
    <w:rsid w:val="00DD4779"/>
    <w:rsid w:val="00DD4874"/>
    <w:rsid w:val="00DD4875"/>
    <w:rsid w:val="00DD54B5"/>
    <w:rsid w:val="00DE37CF"/>
    <w:rsid w:val="00DE4257"/>
    <w:rsid w:val="00DE4E4C"/>
    <w:rsid w:val="00DE6F25"/>
    <w:rsid w:val="00DE75A4"/>
    <w:rsid w:val="00DF2D38"/>
    <w:rsid w:val="00DF4C8C"/>
    <w:rsid w:val="00E034C7"/>
    <w:rsid w:val="00E12792"/>
    <w:rsid w:val="00E14BA1"/>
    <w:rsid w:val="00E22466"/>
    <w:rsid w:val="00E247C9"/>
    <w:rsid w:val="00E30C83"/>
    <w:rsid w:val="00E30DB6"/>
    <w:rsid w:val="00E3145E"/>
    <w:rsid w:val="00E31476"/>
    <w:rsid w:val="00E32167"/>
    <w:rsid w:val="00E33B43"/>
    <w:rsid w:val="00E35973"/>
    <w:rsid w:val="00E40D1A"/>
    <w:rsid w:val="00E41381"/>
    <w:rsid w:val="00E42BF7"/>
    <w:rsid w:val="00E4461E"/>
    <w:rsid w:val="00E516E8"/>
    <w:rsid w:val="00E51D52"/>
    <w:rsid w:val="00E55E69"/>
    <w:rsid w:val="00E60D2D"/>
    <w:rsid w:val="00E610D5"/>
    <w:rsid w:val="00E6387E"/>
    <w:rsid w:val="00E6569B"/>
    <w:rsid w:val="00E67BBE"/>
    <w:rsid w:val="00E71289"/>
    <w:rsid w:val="00E71E93"/>
    <w:rsid w:val="00E73BF7"/>
    <w:rsid w:val="00E745D2"/>
    <w:rsid w:val="00E74CBB"/>
    <w:rsid w:val="00E7793A"/>
    <w:rsid w:val="00E80596"/>
    <w:rsid w:val="00E80BC7"/>
    <w:rsid w:val="00E81B28"/>
    <w:rsid w:val="00E85578"/>
    <w:rsid w:val="00E86D42"/>
    <w:rsid w:val="00E91909"/>
    <w:rsid w:val="00E91B20"/>
    <w:rsid w:val="00E95F94"/>
    <w:rsid w:val="00EA0146"/>
    <w:rsid w:val="00EA4C9D"/>
    <w:rsid w:val="00EA5BDB"/>
    <w:rsid w:val="00EA6077"/>
    <w:rsid w:val="00EB238B"/>
    <w:rsid w:val="00EB5354"/>
    <w:rsid w:val="00EB79AC"/>
    <w:rsid w:val="00EC29A5"/>
    <w:rsid w:val="00EC31B7"/>
    <w:rsid w:val="00EC426D"/>
    <w:rsid w:val="00EC4B2E"/>
    <w:rsid w:val="00ED07C1"/>
    <w:rsid w:val="00ED192A"/>
    <w:rsid w:val="00ED34E0"/>
    <w:rsid w:val="00ED3C9D"/>
    <w:rsid w:val="00EE13B8"/>
    <w:rsid w:val="00EE3332"/>
    <w:rsid w:val="00EE36A8"/>
    <w:rsid w:val="00EE40E1"/>
    <w:rsid w:val="00EF04D2"/>
    <w:rsid w:val="00EF6034"/>
    <w:rsid w:val="00EF7166"/>
    <w:rsid w:val="00EF765C"/>
    <w:rsid w:val="00F0315E"/>
    <w:rsid w:val="00F06A6A"/>
    <w:rsid w:val="00F2074F"/>
    <w:rsid w:val="00F21323"/>
    <w:rsid w:val="00F21EAD"/>
    <w:rsid w:val="00F315CC"/>
    <w:rsid w:val="00F33E9F"/>
    <w:rsid w:val="00F374A1"/>
    <w:rsid w:val="00F5117B"/>
    <w:rsid w:val="00F51907"/>
    <w:rsid w:val="00F5412B"/>
    <w:rsid w:val="00F60343"/>
    <w:rsid w:val="00F60EEB"/>
    <w:rsid w:val="00F62716"/>
    <w:rsid w:val="00F636EC"/>
    <w:rsid w:val="00F7243B"/>
    <w:rsid w:val="00F740BA"/>
    <w:rsid w:val="00F91D0D"/>
    <w:rsid w:val="00F92046"/>
    <w:rsid w:val="00F94732"/>
    <w:rsid w:val="00F949BC"/>
    <w:rsid w:val="00FA0193"/>
    <w:rsid w:val="00FA0B60"/>
    <w:rsid w:val="00FA0D16"/>
    <w:rsid w:val="00FA212C"/>
    <w:rsid w:val="00FA28CE"/>
    <w:rsid w:val="00FA5253"/>
    <w:rsid w:val="00FA583A"/>
    <w:rsid w:val="00FB0257"/>
    <w:rsid w:val="00FB39AD"/>
    <w:rsid w:val="00FB5BC9"/>
    <w:rsid w:val="00FB60A7"/>
    <w:rsid w:val="00FD053D"/>
    <w:rsid w:val="00FE4AFA"/>
    <w:rsid w:val="01480D62"/>
    <w:rsid w:val="03244D61"/>
    <w:rsid w:val="03E20AE7"/>
    <w:rsid w:val="0B0A3F51"/>
    <w:rsid w:val="12D10606"/>
    <w:rsid w:val="138B458E"/>
    <w:rsid w:val="146810F3"/>
    <w:rsid w:val="16304D50"/>
    <w:rsid w:val="16CD69F4"/>
    <w:rsid w:val="17196F62"/>
    <w:rsid w:val="18776548"/>
    <w:rsid w:val="19161573"/>
    <w:rsid w:val="1A931F88"/>
    <w:rsid w:val="1EB06FE5"/>
    <w:rsid w:val="1F824836"/>
    <w:rsid w:val="1FC81823"/>
    <w:rsid w:val="1FD85C5E"/>
    <w:rsid w:val="219B6AB9"/>
    <w:rsid w:val="21C04F22"/>
    <w:rsid w:val="220A18B2"/>
    <w:rsid w:val="22FB76DE"/>
    <w:rsid w:val="24DA60E6"/>
    <w:rsid w:val="25553C32"/>
    <w:rsid w:val="28C9029B"/>
    <w:rsid w:val="2BF47067"/>
    <w:rsid w:val="2CB44E76"/>
    <w:rsid w:val="2E527EDA"/>
    <w:rsid w:val="30E4234E"/>
    <w:rsid w:val="3168245A"/>
    <w:rsid w:val="332071A0"/>
    <w:rsid w:val="33D67C16"/>
    <w:rsid w:val="34E068A4"/>
    <w:rsid w:val="34F2068C"/>
    <w:rsid w:val="35673764"/>
    <w:rsid w:val="374E09CD"/>
    <w:rsid w:val="3D2E5848"/>
    <w:rsid w:val="3DC40C44"/>
    <w:rsid w:val="3FDF4314"/>
    <w:rsid w:val="40FE4FB7"/>
    <w:rsid w:val="43807D41"/>
    <w:rsid w:val="43EB6854"/>
    <w:rsid w:val="45956FE1"/>
    <w:rsid w:val="47021830"/>
    <w:rsid w:val="47202885"/>
    <w:rsid w:val="4749588B"/>
    <w:rsid w:val="4968568D"/>
    <w:rsid w:val="4AD05C00"/>
    <w:rsid w:val="4B07133A"/>
    <w:rsid w:val="4B7516CC"/>
    <w:rsid w:val="4C3A6125"/>
    <w:rsid w:val="4F1426F7"/>
    <w:rsid w:val="4FEC731B"/>
    <w:rsid w:val="528030A6"/>
    <w:rsid w:val="536E25B3"/>
    <w:rsid w:val="55080893"/>
    <w:rsid w:val="55583C9A"/>
    <w:rsid w:val="59650437"/>
    <w:rsid w:val="5B3A39E5"/>
    <w:rsid w:val="5D107092"/>
    <w:rsid w:val="5DDA3EEA"/>
    <w:rsid w:val="61E1524F"/>
    <w:rsid w:val="621E29B0"/>
    <w:rsid w:val="627B4C6A"/>
    <w:rsid w:val="62AD1ADE"/>
    <w:rsid w:val="646B3002"/>
    <w:rsid w:val="65B21BC1"/>
    <w:rsid w:val="664E7817"/>
    <w:rsid w:val="66CD18B3"/>
    <w:rsid w:val="678519DE"/>
    <w:rsid w:val="679E0CD8"/>
    <w:rsid w:val="67FC5CF4"/>
    <w:rsid w:val="69613D01"/>
    <w:rsid w:val="69BA1A7C"/>
    <w:rsid w:val="6B0C060B"/>
    <w:rsid w:val="6BEA30F1"/>
    <w:rsid w:val="6E1A6E28"/>
    <w:rsid w:val="6E4F77E8"/>
    <w:rsid w:val="6E8F22D0"/>
    <w:rsid w:val="70EC6749"/>
    <w:rsid w:val="71950496"/>
    <w:rsid w:val="72453BF6"/>
    <w:rsid w:val="731A39E7"/>
    <w:rsid w:val="74661EEA"/>
    <w:rsid w:val="751A2CB2"/>
    <w:rsid w:val="75F85A0D"/>
    <w:rsid w:val="765D4854"/>
    <w:rsid w:val="785728E7"/>
    <w:rsid w:val="78DF0967"/>
    <w:rsid w:val="78FB2653"/>
    <w:rsid w:val="7AD12FB4"/>
    <w:rsid w:val="7AD234A4"/>
    <w:rsid w:val="7B3A63BF"/>
    <w:rsid w:val="7DD613C9"/>
    <w:rsid w:val="7FB623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6"/>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4"/>
    <w:semiHidden/>
    <w:qFormat/>
    <w:uiPriority w:val="99"/>
    <w:pPr>
      <w:snapToGrid w:val="0"/>
      <w:jc w:val="left"/>
    </w:pPr>
    <w:rPr>
      <w:sz w:val="18"/>
      <w:szCs w:val="18"/>
    </w:rPr>
  </w:style>
  <w:style w:type="character" w:styleId="8">
    <w:name w:val="page number"/>
    <w:basedOn w:val="7"/>
    <w:qFormat/>
    <w:uiPriority w:val="99"/>
  </w:style>
  <w:style w:type="character" w:styleId="9">
    <w:name w:val="footnote reference"/>
    <w:semiHidden/>
    <w:qFormat/>
    <w:uiPriority w:val="99"/>
    <w:rPr>
      <w:vertAlign w:val="superscript"/>
    </w:rPr>
  </w:style>
  <w:style w:type="character" w:customStyle="1" w:styleId="10">
    <w:name w:val="页脚 Char"/>
    <w:link w:val="3"/>
    <w:qFormat/>
    <w:locked/>
    <w:uiPriority w:val="99"/>
    <w:rPr>
      <w:rFonts w:eastAsia="宋体"/>
      <w:kern w:val="2"/>
      <w:sz w:val="18"/>
      <w:szCs w:val="18"/>
      <w:lang w:val="en-US" w:eastAsia="zh-CN"/>
    </w:rPr>
  </w:style>
  <w:style w:type="character" w:customStyle="1" w:styleId="11">
    <w:name w:val="页眉 Char"/>
    <w:link w:val="4"/>
    <w:qFormat/>
    <w:locked/>
    <w:uiPriority w:val="99"/>
    <w:rPr>
      <w:rFonts w:eastAsia="宋体"/>
      <w:kern w:val="2"/>
      <w:sz w:val="18"/>
      <w:szCs w:val="18"/>
      <w:lang w:val="en-US" w:eastAsia="zh-CN"/>
    </w:rPr>
  </w:style>
  <w:style w:type="paragraph" w:customStyle="1" w:styleId="12">
    <w:name w:val="Char Char Char Char Char Char Char"/>
    <w:basedOn w:val="1"/>
    <w:qFormat/>
    <w:uiPriority w:val="99"/>
    <w:pPr>
      <w:widowControl/>
      <w:spacing w:after="160" w:line="240" w:lineRule="exact"/>
      <w:jc w:val="left"/>
    </w:pPr>
    <w:rPr>
      <w:rFonts w:ascii="Verdana" w:hAnsi="Verdana" w:eastAsia="仿宋_GB2312" w:cs="Verdana"/>
      <w:kern w:val="0"/>
      <w:sz w:val="30"/>
      <w:szCs w:val="30"/>
      <w:lang w:eastAsia="en-US"/>
    </w:rPr>
  </w:style>
  <w:style w:type="paragraph" w:customStyle="1" w:styleId="13">
    <w:name w:val="List Paragraph"/>
    <w:basedOn w:val="1"/>
    <w:qFormat/>
    <w:uiPriority w:val="99"/>
    <w:pPr>
      <w:ind w:firstLine="420" w:firstLineChars="200"/>
    </w:pPr>
  </w:style>
  <w:style w:type="character" w:customStyle="1" w:styleId="14">
    <w:name w:val="脚注文本 Char"/>
    <w:link w:val="5"/>
    <w:semiHidden/>
    <w:qFormat/>
    <w:locked/>
    <w:uiPriority w:val="99"/>
    <w:rPr>
      <w:rFonts w:ascii="Calibri" w:hAnsi="Calibri" w:eastAsia="宋体" w:cs="Calibri"/>
      <w:kern w:val="2"/>
      <w:sz w:val="18"/>
      <w:szCs w:val="18"/>
      <w:lang w:val="en-US" w:eastAsia="zh-CN"/>
    </w:rPr>
  </w:style>
  <w:style w:type="paragraph" w:customStyle="1" w:styleId="15">
    <w:name w:val="Char Char Char Char Char Char Char2"/>
    <w:basedOn w:val="1"/>
    <w:qFormat/>
    <w:uiPriority w:val="99"/>
    <w:pPr>
      <w:widowControl/>
      <w:spacing w:after="160" w:line="240" w:lineRule="exact"/>
      <w:jc w:val="left"/>
    </w:pPr>
    <w:rPr>
      <w:rFonts w:ascii="Verdana" w:hAnsi="Verdana" w:eastAsia="仿宋_GB2312" w:cs="Verdana"/>
      <w:kern w:val="0"/>
      <w:sz w:val="30"/>
      <w:szCs w:val="30"/>
      <w:lang w:eastAsia="en-US"/>
    </w:rPr>
  </w:style>
  <w:style w:type="character" w:customStyle="1" w:styleId="16">
    <w:name w:val="批注框文本 Char"/>
    <w:link w:val="2"/>
    <w:qFormat/>
    <w:locked/>
    <w:uiPriority w:val="99"/>
    <w:rPr>
      <w:rFonts w:ascii="Calibri" w:hAnsi="Calibri" w:eastAsia="宋体" w:cs="Calibri"/>
      <w:kern w:val="2"/>
      <w:sz w:val="18"/>
      <w:szCs w:val="18"/>
      <w:lang w:val="en-US" w:eastAsia="zh-CN"/>
    </w:rPr>
  </w:style>
  <w:style w:type="paragraph" w:customStyle="1" w:styleId="17">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18">
    <w:name w:val="Char Char Char Char Char Char Char1"/>
    <w:basedOn w:val="1"/>
    <w:qFormat/>
    <w:uiPriority w:val="99"/>
    <w:pPr>
      <w:widowControl/>
      <w:spacing w:after="160" w:line="240" w:lineRule="exact"/>
      <w:jc w:val="left"/>
    </w:pPr>
    <w:rPr>
      <w:rFonts w:ascii="Verdana" w:hAnsi="Verdana" w:eastAsia="仿宋_GB2312" w:cs="Verdana"/>
      <w:kern w:val="0"/>
      <w:sz w:val="30"/>
      <w:szCs w:val="3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F3225-72BD-46D0-B0C3-A3A4AB2EF7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349</Words>
  <Characters>1995</Characters>
  <Lines>16</Lines>
  <Paragraphs>4</Paragraphs>
  <TotalTime>0</TotalTime>
  <ScaleCrop>false</ScaleCrop>
  <LinksUpToDate>false</LinksUpToDate>
  <CharactersWithSpaces>2340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2017-09-07T03:28:00Z</dcterms:created>
  <dc:creator>宋勇军:</dc:creator>
  <cp:lastModifiedBy>木子</cp:lastModifiedBy>
  <cp:lastPrinted>2017-09-07T06:18:00Z</cp:lastPrinted>
  <dcterms:modified xsi:type="dcterms:W3CDTF">2024-03-20T03:01:20Z</dcterms:modified>
  <dc:title>第二次全国农业普查主要数据公报（第二号）</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9BCDF2E50A2A498FB3AA3628090D98DA</vt:lpwstr>
  </property>
</Properties>
</file>