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微软雅黑"/>
          <w:vertAlign w:val="baseline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222222"/>
          <w:spacing w:val="0"/>
          <w:sz w:val="39"/>
          <w:szCs w:val="39"/>
          <w:shd w:val="clear" w:fill="FFFFFF"/>
        </w:rPr>
        <w:t>元江县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0"/>
          <w:sz w:val="39"/>
          <w:szCs w:val="39"/>
          <w:shd w:val="clear" w:fill="FFFFFF"/>
          <w:lang w:eastAsia="zh-CN"/>
        </w:rPr>
        <w:t>信访</w:t>
      </w:r>
      <w:r>
        <w:rPr>
          <w:rFonts w:ascii="微软雅黑" w:hAnsi="微软雅黑" w:eastAsia="微软雅黑" w:cs="微软雅黑"/>
          <w:b/>
          <w:i w:val="0"/>
          <w:caps w:val="0"/>
          <w:color w:val="222222"/>
          <w:spacing w:val="0"/>
          <w:sz w:val="39"/>
          <w:szCs w:val="39"/>
          <w:shd w:val="clear" w:fill="FFFFFF"/>
        </w:rPr>
        <w:t>局政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0"/>
          <w:sz w:val="39"/>
          <w:szCs w:val="39"/>
          <w:shd w:val="clear" w:fill="FFFFFF"/>
          <w:lang w:eastAsia="zh-CN"/>
        </w:rPr>
        <w:t>府信息</w:t>
      </w:r>
      <w:r>
        <w:rPr>
          <w:rFonts w:ascii="微软雅黑" w:hAnsi="微软雅黑" w:eastAsia="微软雅黑" w:cs="微软雅黑"/>
          <w:b/>
          <w:i w:val="0"/>
          <w:caps w:val="0"/>
          <w:color w:val="222222"/>
          <w:spacing w:val="0"/>
          <w:sz w:val="39"/>
          <w:szCs w:val="39"/>
          <w:shd w:val="clear" w:fill="FFFFFF"/>
        </w:rPr>
        <w:t>公开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0"/>
          <w:sz w:val="39"/>
          <w:szCs w:val="39"/>
          <w:shd w:val="clear" w:fill="FFFFFF"/>
          <w:lang w:eastAsia="zh-CN"/>
        </w:rPr>
        <w:t>基本</w:t>
      </w:r>
      <w:r>
        <w:rPr>
          <w:rFonts w:ascii="微软雅黑" w:hAnsi="微软雅黑" w:eastAsia="微软雅黑" w:cs="微软雅黑"/>
          <w:b/>
          <w:i w:val="0"/>
          <w:caps w:val="0"/>
          <w:color w:val="222222"/>
          <w:spacing w:val="0"/>
          <w:sz w:val="39"/>
          <w:szCs w:val="39"/>
          <w:shd w:val="clear" w:fill="FFFFFF"/>
        </w:rPr>
        <w:t>目录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0"/>
          <w:sz w:val="39"/>
          <w:szCs w:val="39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0"/>
          <w:sz w:val="39"/>
          <w:szCs w:val="39"/>
          <w:shd w:val="clear" w:fill="FFFFFF"/>
          <w:lang w:val="en-US" w:eastAsia="zh-CN"/>
        </w:rPr>
        <w:t>2022年度）</w:t>
      </w:r>
    </w:p>
    <w:tbl>
      <w:tblPr>
        <w:tblStyle w:val="3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809"/>
        <w:gridCol w:w="1041"/>
        <w:gridCol w:w="1481"/>
        <w:gridCol w:w="2957"/>
        <w:gridCol w:w="1430"/>
        <w:gridCol w:w="1417"/>
        <w:gridCol w:w="1221"/>
        <w:gridCol w:w="900"/>
        <w:gridCol w:w="664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公开事项类别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公开事项名称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公开内容</w:t>
            </w:r>
          </w:p>
        </w:tc>
        <w:tc>
          <w:tcPr>
            <w:tcW w:w="2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公开依据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公开时限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公开主体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公开渠道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公开对象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公开方式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咨询及监督电话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通知公告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通知公告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发布需要社会公众广泛知晓的信息</w:t>
            </w:r>
          </w:p>
        </w:tc>
        <w:tc>
          <w:tcPr>
            <w:tcW w:w="2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《中华人民共和国政府信息公开条例》（国 务院令第711号）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信息形成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个工作日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县信访局综合股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县政府信息公开门户网站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社会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主动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0877-6515452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8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机构信息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机构职能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机构名称、办公地址、办公时间、办公电话、传真、通信地址、邮政编码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、局主要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职能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、内设股室职能等信息</w:t>
            </w:r>
          </w:p>
        </w:tc>
        <w:tc>
          <w:tcPr>
            <w:tcW w:w="2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《中华人民共和国政府信息公开条例》（国 务院令第711号）、“三定”方案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信息形成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个工作日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县信访局综合股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县政府信息公开门户网站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社会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主动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0877-6515452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领导信息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信访局领导姓名、职务、简介、分工</w:t>
            </w:r>
          </w:p>
        </w:tc>
        <w:tc>
          <w:tcPr>
            <w:tcW w:w="2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《中华人民共和国政府信息公开条例》（国 务院令第711号）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信息形成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个工作日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县信访局综合股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县政府信息公开门户网站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社会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主动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0877-6515452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部门预决算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财政预决算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公开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本部门预算及三公经费预算公开 、部门预算重点领域财政项目文本公开</w:t>
            </w:r>
          </w:p>
        </w:tc>
        <w:tc>
          <w:tcPr>
            <w:tcW w:w="2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《中华人民共和国预算法》、《中华人民共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和国政府信息公开条例》（国务院令第711 号）、《财政部关于印发&lt;地方预决算公开 操作规程&gt;的通知》（财预〔2016〕144号） 等法律法规和文件规定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信息形成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个工作日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县信访局综合股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县政府信息公开门户网站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社会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主动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0877-6515452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信息公开指南、制度、目录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公开指南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、制度、目录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县信访局政府信息公开目录、指南等信息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《中华人民共和国政府信息公开条例》（国 务院令第711号）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信息形成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个工作日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县信访局综合股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县政府信息公开门户网站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社会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0877-6515452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政府信息公开工作年度报告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政府信息公开工作年度报告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本年度政府信息公开总体情况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内容</w:t>
            </w:r>
          </w:p>
        </w:tc>
        <w:tc>
          <w:tcPr>
            <w:tcW w:w="2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《中华人民共和国政府信息公开条例》（国 务院令第711号）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信息形成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个工作日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县信访局综合股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县政府信息公开门户网站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社会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主动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0877-6515452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政府文件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政府文件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本单位出台的法规、规章、应主动公开的政府文件及相关法律法规、政策解读</w:t>
            </w:r>
          </w:p>
        </w:tc>
        <w:tc>
          <w:tcPr>
            <w:tcW w:w="2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《中华人民共和国政府信息公开条例》（国 务院令第711号）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信息形成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个工作日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县信访局综合股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县政府信息公开门户网站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社会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主动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0877-6515452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工作动态</w:t>
            </w: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工作动态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县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信访局工作动态</w:t>
            </w:r>
          </w:p>
        </w:tc>
        <w:tc>
          <w:tcPr>
            <w:tcW w:w="2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《中华人民共和国政府信息公开条例》（国 务院令第711号）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信息形成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或变更之日起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个工作日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县信访局综合股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县政府信息公开门户网站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社会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主动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0877-6515452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GNhZGQyODE1M2UxNjIxMjZhZTg5OGMyYmFkNWQifQ=="/>
  </w:docVars>
  <w:rsids>
    <w:rsidRoot w:val="57A45B80"/>
    <w:rsid w:val="28C52BC1"/>
    <w:rsid w:val="57A45B80"/>
    <w:rsid w:val="5FD0361E"/>
    <w:rsid w:val="665E386C"/>
    <w:rsid w:val="7FDB4F23"/>
    <w:rsid w:val="7FF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937</Words>
  <Characters>1049</Characters>
  <Lines>0</Lines>
  <Paragraphs>0</Paragraphs>
  <TotalTime>17</TotalTime>
  <ScaleCrop>false</ScaleCrop>
  <LinksUpToDate>false</LinksUpToDate>
  <CharactersWithSpaces>1061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2021-03-02T17:22:00Z</dcterms:created>
  <dc:creator>Administrator</dc:creator>
  <cp:lastModifiedBy>user</cp:lastModifiedBy>
  <cp:lastPrinted>2022-11-18T15:23:00Z</cp:lastPrinted>
  <dcterms:modified xsi:type="dcterms:W3CDTF">2024-03-19T10:48:10Z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B0501441C81F490E94EF741A1B7DA3EB</vt:lpwstr>
  </property>
</Properties>
</file>