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元江哈尼族彝族傣族自治县人民政府办公室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2024年预算重点领域财政项目文本公开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法律顾问专项经费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根据中共玉溪市委办公室、玉溪市人民政府办公室《关于健全法律顾问制度的实施意见》（玉办发〔2016〕6号）文件要求，全市各级党委机关、人大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常委会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机关、政府机关、政协机关、人民团体、国有企业、事业单位应当结合实际，在本机关、本单位和其他机关、单位选聘一定数量适应工作需要的法律顾问。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中共玉溪市委办公室、玉溪市人民政府办公室《关于完善法律顾问制度和推行公职律师公司律师制度实施办法》（玉办发〔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2018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28号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）文件第五条要求。法律事务较少的县级以上党委、政府工作部门和乡镇(街道)党(工)委、政府（办事处）应当配备具有法律专业知识的专职或者兼职人员履行法律顾问职责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（三）根据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《元江县人民政府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关于进一步加强政府法律顾问工作的实施意见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（元政发〔2015〕27号）要求，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把政府法律顾问工作经费（含法律顾问工作报酬及奖励经费、法律顾问机构工作经费等）纳入财政预算予以保障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根据上述有关要求，元江县人民政府聘请澧江律师事务所、热城律师事务所各一名律师作为县人民政府法律顾问，为政府重大行政决策、重大项目提供法律意见，对政府规范性文件提供审查意见，接受委托，代理诉讼、复议、仲裁、执行和其他非诉讼法律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</w:p>
    <w:p>
      <w:pPr>
        <w:ind w:firstLine="600"/>
        <w:jc w:val="left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元江县人民政府法律顾问聘用合同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双方约定的条款支付聘请经费，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4.00万元.人/年，共8.00万元。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安排2021、2023及2024年县政府法律顾问聘任费22.00万元，其中：2021年欠聘任费6.00万元、2023年欠聘任费8.00万元、2024年8.00万元。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6月支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付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6.00万元，12月支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付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16.00万元。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保障县人民政府依法治县、依法执政、依法行政，推进法治元江、法治政府、法治社会一体建设，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促进元江经济社会各项事业稳步健康发展。</w:t>
      </w:r>
    </w:p>
    <w:p>
      <w:pPr>
        <w:ind w:firstLine="6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</w:p>
    <w:p>
      <w:pPr>
        <w:spacing w:line="59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TYyNmY1MTA4NTg0Y2YxYzg1OTkyMzQ3NDM5Yzk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28656C"/>
    <w:rsid w:val="01391C4B"/>
    <w:rsid w:val="013D23AE"/>
    <w:rsid w:val="022D1862"/>
    <w:rsid w:val="023D66C9"/>
    <w:rsid w:val="02522363"/>
    <w:rsid w:val="03121151"/>
    <w:rsid w:val="03621F56"/>
    <w:rsid w:val="03A1797D"/>
    <w:rsid w:val="03FB4523"/>
    <w:rsid w:val="04637F4D"/>
    <w:rsid w:val="04FF36B3"/>
    <w:rsid w:val="07BD2972"/>
    <w:rsid w:val="083D3A51"/>
    <w:rsid w:val="092D1105"/>
    <w:rsid w:val="0A412F2D"/>
    <w:rsid w:val="0C0342C8"/>
    <w:rsid w:val="0C825B1D"/>
    <w:rsid w:val="0C835248"/>
    <w:rsid w:val="0EE21B0E"/>
    <w:rsid w:val="0F3957E8"/>
    <w:rsid w:val="115E652A"/>
    <w:rsid w:val="120A1509"/>
    <w:rsid w:val="12B05CD3"/>
    <w:rsid w:val="140A5D91"/>
    <w:rsid w:val="14176D73"/>
    <w:rsid w:val="151E63C3"/>
    <w:rsid w:val="152C153A"/>
    <w:rsid w:val="15B72165"/>
    <w:rsid w:val="16584E5C"/>
    <w:rsid w:val="17AC3E1E"/>
    <w:rsid w:val="1801120B"/>
    <w:rsid w:val="18AB6A80"/>
    <w:rsid w:val="193A152D"/>
    <w:rsid w:val="19940C3D"/>
    <w:rsid w:val="1B213E90"/>
    <w:rsid w:val="1B473BAD"/>
    <w:rsid w:val="1B590E3A"/>
    <w:rsid w:val="1BFE4DCF"/>
    <w:rsid w:val="1CBB3D5C"/>
    <w:rsid w:val="1DC2273E"/>
    <w:rsid w:val="1FEE657B"/>
    <w:rsid w:val="20BE6F8B"/>
    <w:rsid w:val="21DF0E52"/>
    <w:rsid w:val="231A0405"/>
    <w:rsid w:val="25CD1458"/>
    <w:rsid w:val="25E14A26"/>
    <w:rsid w:val="2632678C"/>
    <w:rsid w:val="270F7A67"/>
    <w:rsid w:val="272C58C5"/>
    <w:rsid w:val="27362D28"/>
    <w:rsid w:val="28411398"/>
    <w:rsid w:val="28E365D3"/>
    <w:rsid w:val="29BE6853"/>
    <w:rsid w:val="29E224B7"/>
    <w:rsid w:val="2B7B4934"/>
    <w:rsid w:val="2BA71B8F"/>
    <w:rsid w:val="2E190967"/>
    <w:rsid w:val="2E4E7B7D"/>
    <w:rsid w:val="2F1E7104"/>
    <w:rsid w:val="2F6A475B"/>
    <w:rsid w:val="2FDF30E0"/>
    <w:rsid w:val="33093135"/>
    <w:rsid w:val="33785695"/>
    <w:rsid w:val="34747C4C"/>
    <w:rsid w:val="37AD2109"/>
    <w:rsid w:val="37E15357"/>
    <w:rsid w:val="390F6C4C"/>
    <w:rsid w:val="3949361B"/>
    <w:rsid w:val="39EF473A"/>
    <w:rsid w:val="3A65563B"/>
    <w:rsid w:val="3C2F63C4"/>
    <w:rsid w:val="3C3A46C5"/>
    <w:rsid w:val="3D175293"/>
    <w:rsid w:val="3D6550CF"/>
    <w:rsid w:val="3DDC627B"/>
    <w:rsid w:val="3DFF04CC"/>
    <w:rsid w:val="402F08F3"/>
    <w:rsid w:val="40B169C9"/>
    <w:rsid w:val="41DD13BD"/>
    <w:rsid w:val="439C24FA"/>
    <w:rsid w:val="43E725CC"/>
    <w:rsid w:val="490A2CC0"/>
    <w:rsid w:val="4AAE582F"/>
    <w:rsid w:val="4AD61BC4"/>
    <w:rsid w:val="4BB74FCE"/>
    <w:rsid w:val="4C3D2942"/>
    <w:rsid w:val="4DF80A94"/>
    <w:rsid w:val="4FE50486"/>
    <w:rsid w:val="50EA2900"/>
    <w:rsid w:val="51466409"/>
    <w:rsid w:val="526236FC"/>
    <w:rsid w:val="52BE22AC"/>
    <w:rsid w:val="5372093B"/>
    <w:rsid w:val="53B40B84"/>
    <w:rsid w:val="543908C9"/>
    <w:rsid w:val="54783F17"/>
    <w:rsid w:val="559D62AC"/>
    <w:rsid w:val="562260FD"/>
    <w:rsid w:val="5707190E"/>
    <w:rsid w:val="57D449E0"/>
    <w:rsid w:val="57F137DF"/>
    <w:rsid w:val="58891A50"/>
    <w:rsid w:val="58BD0EAF"/>
    <w:rsid w:val="598D0C2A"/>
    <w:rsid w:val="59927FEE"/>
    <w:rsid w:val="59CA6C37"/>
    <w:rsid w:val="5B417B37"/>
    <w:rsid w:val="5EEA1036"/>
    <w:rsid w:val="5F531FCE"/>
    <w:rsid w:val="5FD803A8"/>
    <w:rsid w:val="61992B8F"/>
    <w:rsid w:val="62D81168"/>
    <w:rsid w:val="63ED6DD1"/>
    <w:rsid w:val="63FA53A5"/>
    <w:rsid w:val="65AC580A"/>
    <w:rsid w:val="66D070C1"/>
    <w:rsid w:val="6CB55A5D"/>
    <w:rsid w:val="706F6B73"/>
    <w:rsid w:val="70A55D88"/>
    <w:rsid w:val="70FD4426"/>
    <w:rsid w:val="71FA5830"/>
    <w:rsid w:val="74254390"/>
    <w:rsid w:val="74BA491D"/>
    <w:rsid w:val="750B0F29"/>
    <w:rsid w:val="768A0573"/>
    <w:rsid w:val="76B164C3"/>
    <w:rsid w:val="77BE0F51"/>
    <w:rsid w:val="782E61C7"/>
    <w:rsid w:val="7C4B1D9D"/>
    <w:rsid w:val="7DE8715F"/>
    <w:rsid w:val="A1D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首行缩进 21"/>
    <w:basedOn w:val="1"/>
    <w:qFormat/>
    <w:uiPriority w:val="99"/>
    <w:pPr>
      <w:widowControl w:val="0"/>
      <w:adjustRightInd/>
      <w:snapToGrid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sz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885</Words>
  <Characters>927</Characters>
  <Lines>14</Lines>
  <Paragraphs>4</Paragraphs>
  <TotalTime>14</TotalTime>
  <ScaleCrop>false</ScaleCrop>
  <LinksUpToDate>false</LinksUpToDate>
  <CharactersWithSpaces>927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2021-10-08T11:11:00Z</dcterms:created>
  <dc:creator>Administrator</dc:creator>
  <cp:lastModifiedBy>user</cp:lastModifiedBy>
  <cp:lastPrinted>2021-12-04T17:09:00Z</cp:lastPrinted>
  <dcterms:modified xsi:type="dcterms:W3CDTF">2024-03-05T08:15:05Z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C8A09B3FF7934E92AFB8FB6F440EDE36_13</vt:lpwstr>
  </property>
</Properties>
</file>