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建设工程规划许可（县级权限）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【000115133005】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w:t>
      </w:r>
      <w:r>
        <w:rPr>
          <w:rFonts w:hint="eastAsia" w:ascii="仿宋_GB2312" w:hAnsi="仿宋_GB2312" w:eastAsia="仿宋_GB2312" w:cs="仿宋_GB2312"/>
          <w:b/>
          <w:bCs/>
          <w:strike w:val="0"/>
          <w:dstrike w:val="0"/>
          <w:color w:val="auto"/>
          <w:sz w:val="32"/>
          <w:szCs w:val="32"/>
          <w:lang w:val="en-US"/>
        </w:rPr>
        <w:t>行政许可事项名称</w:t>
      </w:r>
      <w:r>
        <w:rPr>
          <w:rFonts w:hint="eastAsia" w:ascii="仿宋_GB2312" w:hAnsi="仿宋_GB2312" w:eastAsia="仿宋_GB2312" w:cs="仿宋_GB2312"/>
          <w:b/>
          <w:bCs/>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建设工程、临时建设工程规划许可</w:t>
      </w: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strike w:val="0"/>
          <w:dstrike w:val="0"/>
          <w:sz w:val="32"/>
          <w:szCs w:val="32"/>
          <w:lang w:val="en-US"/>
        </w:rPr>
        <w:t>00011513300Y</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建设工程规划许可（县级权限）【000115133005】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（1）建设工程规划许可办理(00011513300501)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（2）建设工程规划许可变更(00011513300502)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（3）建设工程规划许可延期(00011513300503)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（4）建设工程规划许可注销(00011513300504)</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（3）《中华人民共和国土地管理法实施条例》第二条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《中华人民共和国城乡规划法》第四十四条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（3）《中华人民共和国土地管理法》第十八条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w:t>
      </w:r>
      <w:r>
        <w:rPr>
          <w:rFonts w:hint="eastAsia" w:ascii="仿宋_GB2312" w:hAnsi="仿宋_GB2312" w:eastAsia="仿宋_GB2312" w:cs="仿宋_GB2312"/>
          <w:strike w:val="0"/>
          <w:dstrike w:val="0"/>
          <w:sz w:val="32"/>
          <w:szCs w:val="32"/>
          <w:lang w:val="en-US" w:eastAsia="zh-CN"/>
        </w:rPr>
        <w:t>中华人民共和国</w:t>
      </w:r>
      <w:r>
        <w:rPr>
          <w:rFonts w:hint="eastAsia" w:ascii="仿宋_GB2312" w:hAnsi="仿宋_GB2312" w:eastAsia="仿宋_GB2312" w:cs="仿宋_GB2312"/>
          <w:b w:val="0"/>
          <w:bCs w:val="0"/>
          <w:strike w:val="0"/>
          <w:dstrike w:val="0"/>
          <w:color w:val="auto"/>
          <w:sz w:val="32"/>
          <w:szCs w:val="32"/>
          <w:lang w:val="en-US" w:eastAsia="zh-CN"/>
        </w:rPr>
        <w:t>长江保护法》第二十条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w:t>
      </w:r>
      <w:r>
        <w:rPr>
          <w:rFonts w:hint="eastAsia" w:ascii="仿宋_GB2312" w:hAnsi="仿宋_GB2312" w:eastAsia="仿宋_GB2312" w:cs="仿宋_GB2312"/>
          <w:strike w:val="0"/>
          <w:dstrike w:val="0"/>
          <w:sz w:val="32"/>
          <w:szCs w:val="32"/>
          <w:lang w:val="en-US" w:eastAsia="zh-CN"/>
        </w:rPr>
        <w:t>中华人民共和国</w:t>
      </w:r>
      <w:r>
        <w:rPr>
          <w:rFonts w:hint="eastAsia" w:ascii="仿宋_GB2312" w:hAnsi="仿宋_GB2312" w:eastAsia="仿宋_GB2312" w:cs="仿宋_GB2312"/>
          <w:b w:val="0"/>
          <w:bCs w:val="0"/>
          <w:strike w:val="0"/>
          <w:dstrike w:val="0"/>
          <w:color w:val="auto"/>
          <w:sz w:val="32"/>
          <w:szCs w:val="32"/>
          <w:lang w:val="en-US" w:eastAsia="zh-CN"/>
        </w:rPr>
        <w:t>黄河保护法》第二十五条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w:t>
      </w:r>
      <w:r>
        <w:rPr>
          <w:rFonts w:hint="eastAsia" w:ascii="仿宋_GB2312" w:hAnsi="仿宋_GB2312" w:eastAsia="仿宋_GB2312" w:cs="仿宋_GB2312"/>
          <w:strike w:val="0"/>
          <w:dstrike w:val="0"/>
          <w:sz w:val="32"/>
          <w:szCs w:val="32"/>
          <w:lang w:val="en-US" w:eastAsia="zh-CN"/>
        </w:rPr>
        <w:t>《中华人民共和国土地管理法实施条例》第二条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（7）《中共中央 国务院关于建立国土空间规划体系并监督实施的若干意见》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（1）《中华人民共和国城乡规划法》第五十一条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（2）《中华人民共和国城乡规划法》第五十三条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（3）《中华人民共和国城乡规划法》第六十四条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7.实施机关：</w:t>
      </w:r>
      <w:r>
        <w:rPr>
          <w:rFonts w:hint="eastAsia" w:ascii="仿宋_GB2312" w:hAnsi="仿宋_GB2312" w:eastAsia="仿宋_GB2312" w:cs="仿宋_GB2312"/>
          <w:b w:val="0"/>
          <w:bCs w:val="0"/>
          <w:strike w:val="0"/>
          <w:dstrike w:val="0"/>
          <w:color w:val="auto"/>
          <w:sz w:val="32"/>
          <w:szCs w:val="32"/>
          <w:lang w:val="en-US" w:eastAsia="zh-CN"/>
        </w:rPr>
        <w:t>县级自然资源部门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8.审批层级：</w:t>
      </w:r>
      <w:r>
        <w:rPr>
          <w:rFonts w:hint="eastAsia" w:ascii="仿宋_GB2312" w:hAnsi="仿宋_GB2312" w:eastAsia="仿宋_GB2312" w:cs="仿宋_GB2312"/>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9.行使层级：</w:t>
      </w:r>
      <w:r>
        <w:rPr>
          <w:rFonts w:hint="eastAsia" w:ascii="仿宋_GB2312" w:hAnsi="仿宋_GB2312" w:eastAsia="仿宋_GB2312" w:cs="仿宋_GB2312"/>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10.是否由审批机关受理：</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11.受理层级：</w:t>
      </w:r>
      <w:r>
        <w:rPr>
          <w:rFonts w:hint="eastAsia" w:ascii="仿宋_GB2312" w:hAnsi="仿宋_GB2312" w:eastAsia="仿宋_GB2312" w:cs="仿宋_GB2312"/>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12.是否存在初审环节：</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highlight w:val="yellow"/>
          <w:lang w:val="en-US"/>
        </w:rPr>
      </w:pPr>
      <w:r>
        <w:rPr>
          <w:rFonts w:hint="eastAsia" w:ascii="仿宋_GB2312" w:hAnsi="仿宋_GB2312" w:eastAsia="仿宋_GB2312" w:cs="仿宋_GB2312"/>
          <w:b/>
          <w:bCs/>
          <w:strike w:val="0"/>
          <w:dstrike w:val="0"/>
          <w:color w:val="auto"/>
          <w:sz w:val="32"/>
          <w:szCs w:val="32"/>
          <w:highlight w:val="none"/>
          <w:lang w:val="en-US" w:eastAsia="zh-CN"/>
        </w:rPr>
        <w:t>13.初审层级：</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14.对应政务服务事项国家级基本目录名称：</w:t>
      </w:r>
      <w:r>
        <w:rPr>
          <w:rFonts w:hint="eastAsia" w:ascii="仿宋_GB2312" w:hAnsi="仿宋_GB2312" w:eastAsia="仿宋_GB2312" w:cs="仿宋_GB2312"/>
          <w:b w:val="0"/>
          <w:bCs w:val="0"/>
          <w:strike w:val="0"/>
          <w:dstrike w:val="0"/>
          <w:color w:val="auto"/>
          <w:sz w:val="32"/>
          <w:szCs w:val="32"/>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15.要素统一情况：</w:t>
      </w:r>
      <w:r>
        <w:rPr>
          <w:rFonts w:hint="eastAsia" w:ascii="仿宋_GB2312" w:hAnsi="仿宋_GB2312" w:eastAsia="仿宋_GB2312" w:cs="仿宋_GB2312"/>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拟建设项目经有关部门批准、核准、备案；（2）取得使用土地的有关证明文件；（3）建设工程设计方案应符合国土空间详细规划（控制性详细规划）、规划条件，符合当地城市空间形态和风貌管理的相关要求；（4）建设工程设计方案经自然资源主管部门审定，需要编制修建性详细规划的，还应提交修建性详细规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城市、县人民政府城乡规划主管部门或者省、自治区、直辖市人民政府确定的镇人民政府应当依法将经审定的修建性详细规划、建设工程设计方案的总平面图予以公布。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sz w:val="32"/>
          <w:szCs w:val="32"/>
          <w:highlight w:val="none"/>
          <w:lang w:val="en-US" w:eastAsia="zh-CN"/>
        </w:rPr>
        <w:t>1.服务对象类型：</w:t>
      </w:r>
      <w:r>
        <w:rPr>
          <w:rFonts w:hint="eastAsia" w:ascii="仿宋_GB2312" w:hAnsi="仿宋_GB2312" w:eastAsia="仿宋_GB2312" w:cs="仿宋_GB2312"/>
          <w:b w:val="0"/>
          <w:bCs w:val="0"/>
          <w:strike w:val="0"/>
          <w:dstrike w:val="0"/>
          <w:color w:val="auto"/>
          <w:sz w:val="32"/>
          <w:szCs w:val="32"/>
          <w:lang w:val="en-US" w:eastAsia="zh-CN"/>
        </w:rPr>
        <w:t>自然人,企业法人,事业单位法人,社会组织法人,非法人企业,行政机关,其他组织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4.许可证件名称：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5.改革方式：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6.具体改革举措：</w:t>
      </w:r>
      <w:r>
        <w:rPr>
          <w:rFonts w:hint="eastAsia" w:ascii="仿宋_GB2312" w:hAnsi="仿宋_GB2312" w:eastAsia="仿宋_GB2312" w:cs="仿宋_GB2312"/>
          <w:b w:val="0"/>
          <w:bCs w:val="0"/>
          <w:strike w:val="0"/>
          <w:dstrike w:val="0"/>
          <w:color w:val="auto"/>
          <w:sz w:val="32"/>
          <w:szCs w:val="32"/>
          <w:lang w:val="en-US" w:eastAsia="zh-CN"/>
        </w:rPr>
        <w:t>将承诺审批时限由20个工作日压缩至8个工作日。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sz w:val="32"/>
          <w:szCs w:val="32"/>
          <w:highlight w:val="none"/>
          <w:lang w:val="en-US" w:eastAsia="zh-CN"/>
        </w:rPr>
      </w:pPr>
      <w:r>
        <w:rPr>
          <w:rFonts w:hint="eastAsia" w:ascii="仿宋_GB2312" w:hAnsi="仿宋_GB2312" w:eastAsia="仿宋_GB2312" w:cs="仿宋_GB2312"/>
          <w:b/>
          <w:bCs/>
          <w:strike w:val="0"/>
          <w:dstrike w:val="0"/>
          <w:sz w:val="32"/>
          <w:szCs w:val="32"/>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做好公开公示，自觉接受群众监督。核发建设工程规划许可证前，应将建设工程设计方案的总平面图予以批前公示。经依法审定的建设工程设计方案的总平面图不得随意修改，确需修改的，应当采取听证会等形式，听取利害关系人的意见。地方自然资源主管部门应明确公示、听证要求，保障群众知情权，切实维护利害关系人利益。按照《自然资源领域基层政务公开标准指引》规定，作出许可决定7个工作日内，将建设工程规划许可证通过适当方式向社会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依法严格开展规划核实。进一步规范核实标准，自然资源主管部门依据建设单位提交的规划竣工实测报告，严格核实项目建设是否符合规划条件、建设工程规划许可要求，明确规划验收意见。推动自然资源主管部门负责的规划核实、土地核验、不动产测绘等合并为一个验收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建设工程规划许可相关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建设工程规划许可证申请表；（2）建设项目批准、核准、备案文件；（3）使用土地的有关证明文件，地方结合实际确定，可以是不动产权属证书、建设用地规划许可证、国有建设用地划拨决定书、国有建设用地使用权出让合同或有关部门出具的使用土地证明文件等；（4）建设工程设计方案；（5）依照规定需要编制修建性详细规划的，应当提交修建性详细规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城市、县人民政府城乡规划主管部门或者省、自治区、直辖市人民政府确定的镇人民政府应当依法将经审定的修建性详细规划、建设工程设计方案的总平面图予以公布。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2.中介服务事项名称：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3.设定中介服务事项的依据：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4.提供中介服务的机构：</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5.中介服务事项的收费性质：</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（2）审批机构受理/不予受理；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（3）审批机构审查。涉及需进行现场勘验、专家评审、听证、委托服务机构开展技术性服务的，按有关规定组织实施；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（4）决定核发许可证/不予核发许可证。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3.是否需要现场勘验：</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4.是否需要组织听证：</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6.是否需要检验、检测、检疫：</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7.是否需要鉴定：</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8.是否需要专家评审：</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9.是否需要向社会公示：</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10.是否实行告知承诺办理：</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1.承诺受理时限：</w:t>
      </w:r>
      <w:r>
        <w:rPr>
          <w:rFonts w:hint="eastAsia" w:ascii="仿宋_GB2312" w:hAnsi="仿宋_GB2312" w:eastAsia="仿宋_GB2312" w:cs="仿宋_GB2312"/>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color w:val="auto"/>
          <w:sz w:val="32"/>
          <w:szCs w:val="32"/>
          <w:lang w:val="en-US" w:eastAsia="zh-CN"/>
        </w:rPr>
        <w:t>2.法定审批时限：</w:t>
      </w:r>
      <w:r>
        <w:rPr>
          <w:rFonts w:hint="eastAsia" w:ascii="仿宋_GB2312" w:hAnsi="仿宋_GB2312" w:eastAsia="仿宋_GB2312" w:cs="仿宋_GB2312"/>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4.承诺审批时限：</w:t>
      </w:r>
      <w:r>
        <w:rPr>
          <w:rFonts w:hint="eastAsia" w:ascii="仿宋_GB2312" w:hAnsi="仿宋_GB2312" w:eastAsia="仿宋_GB2312" w:cs="仿宋_GB2312"/>
          <w:b w:val="0"/>
          <w:bCs w:val="0"/>
          <w:strike w:val="0"/>
          <w:dstrike w:val="0"/>
          <w:color w:val="auto"/>
          <w:sz w:val="32"/>
          <w:szCs w:val="32"/>
          <w:lang w:val="en-US" w:eastAsia="zh-CN"/>
        </w:rPr>
        <w:t>8个工作日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依法进行听证、专家评审等另需时间不计算在该时限内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FF000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2.收费项目的名称、收费项目的标准、设定收费项目的依据、规定收费标准的依据：</w:t>
      </w:r>
      <w:r>
        <w:rPr>
          <w:rFonts w:hint="eastAsia" w:ascii="仿宋_GB2312" w:hAnsi="仿宋_GB2312" w:eastAsia="仿宋_GB2312" w:cs="仿宋_GB2312"/>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1.审批结果类型：</w:t>
      </w:r>
      <w:r>
        <w:rPr>
          <w:rFonts w:hint="eastAsia" w:ascii="仿宋_GB2312" w:hAnsi="仿宋_GB2312" w:eastAsia="仿宋_GB2312" w:cs="仿宋_GB2312"/>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2.审批结果名称：</w:t>
      </w:r>
      <w:r>
        <w:rPr>
          <w:rFonts w:hint="eastAsia" w:ascii="仿宋_GB2312" w:hAnsi="仿宋_GB2312" w:eastAsia="仿宋_GB2312" w:cs="仿宋_GB2312"/>
          <w:b w:val="0"/>
          <w:bCs w:val="0"/>
          <w:strike w:val="0"/>
          <w:dstrike w:val="0"/>
          <w:color w:val="auto"/>
          <w:sz w:val="32"/>
          <w:szCs w:val="32"/>
          <w:lang w:val="en-US" w:eastAsia="zh-CN"/>
        </w:rPr>
        <w:t>建设工程规划许可证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3.审批结果的有效期限：</w:t>
      </w:r>
      <w:r>
        <w:rPr>
          <w:rFonts w:hint="eastAsia" w:ascii="仿宋_GB2312" w:hAnsi="仿宋_GB2312" w:eastAsia="仿宋_GB2312" w:cs="仿宋_GB2312"/>
          <w:b w:val="0"/>
          <w:bCs w:val="0"/>
          <w:strike w:val="0"/>
          <w:dstrike w:val="0"/>
          <w:color w:val="auto"/>
          <w:sz w:val="32"/>
          <w:szCs w:val="32"/>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4.规定审批结果有效期限的依据</w:t>
      </w:r>
      <w:r>
        <w:rPr>
          <w:rFonts w:hint="default" w:ascii="仿宋_GB2312" w:hAnsi="仿宋_GB2312" w:eastAsia="仿宋_GB2312" w:cs="仿宋_GB2312"/>
          <w:b/>
          <w:bCs/>
          <w:strike w:val="0"/>
          <w:dstrike w:val="0"/>
          <w:color w:val="auto"/>
          <w:sz w:val="32"/>
          <w:szCs w:val="32"/>
          <w:lang w:val="en" w:eastAsia="zh-CN"/>
        </w:rPr>
        <w:t>:</w:t>
      </w:r>
      <w:r>
        <w:rPr>
          <w:rFonts w:hint="eastAsia" w:ascii="仿宋_GB2312" w:hAnsi="仿宋_GB2312" w:eastAsia="仿宋_GB2312" w:cs="仿宋_GB2312"/>
          <w:b w:val="0"/>
          <w:bCs w:val="0"/>
          <w:strike w:val="0"/>
          <w:dstrike w:val="0"/>
          <w:color w:val="auto"/>
          <w:sz w:val="32"/>
          <w:szCs w:val="32"/>
          <w:lang w:val="en-US" w:eastAsia="zh-CN"/>
        </w:rPr>
        <w:t>《云南省城乡规划条例》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6.办理审批结果变更手续的要求：</w:t>
      </w:r>
      <w:r>
        <w:rPr>
          <w:rFonts w:hint="eastAsia" w:ascii="仿宋_GB2312" w:hAnsi="仿宋_GB2312" w:eastAsia="仿宋_GB2312" w:cs="仿宋_GB2312"/>
          <w:b w:val="0"/>
          <w:bCs w:val="0"/>
          <w:strike w:val="0"/>
          <w:dstrike w:val="0"/>
          <w:color w:val="auto"/>
          <w:sz w:val="32"/>
          <w:szCs w:val="32"/>
          <w:lang w:val="en-US" w:eastAsia="zh-CN"/>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8.办理审批结果延续手续的要求：</w:t>
      </w:r>
      <w:r>
        <w:rPr>
          <w:rFonts w:hint="eastAsia" w:ascii="仿宋_GB2312" w:hAnsi="仿宋_GB2312" w:eastAsia="仿宋_GB2312" w:cs="仿宋_GB2312"/>
          <w:b w:val="0"/>
          <w:bCs w:val="0"/>
          <w:strike w:val="0"/>
          <w:dstrike w:val="0"/>
          <w:color w:val="auto"/>
          <w:sz w:val="32"/>
          <w:szCs w:val="32"/>
          <w:lang w:val="en-US" w:eastAsia="zh-CN"/>
        </w:rPr>
        <w:t>确需延长的，应当在期限届满之日的30日前，向发证的城乡规划主管部门申请办理延续手续。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9.审批结果的有效地域范围：</w:t>
      </w:r>
      <w:r>
        <w:rPr>
          <w:rFonts w:hint="eastAsia" w:ascii="仿宋_GB2312" w:hAnsi="仿宋_GB2312" w:eastAsia="仿宋_GB2312" w:cs="仿宋_GB2312"/>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1.有无年检要求：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3.年检周期：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6.年检是否收费：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1.有无年报要求：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2.年报报送材料名称：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3.设定年报要求的依据：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4.年报周期：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县级自然资源主管部门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1.地方自然资源主管部门自行制定完善规划核实、放线验线等管理规程。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支持地方在已有探索成果基础上，巩固深化用地审批与规划许可融合管理成果。深化“带方案出让”土地制度，合理确定适用项目类型，在取得土地使用权后，可直接核发建设工程规划许可证；对于符合条件的建设项目，可“一次申请、合并办理”建设用地规划许可证和建设工程规划许可证；推行告知承诺制，通过“事前承诺、事后监管”，进一步提升审批效率；</w:t>
      </w:r>
      <w:bookmarkStart w:id="0" w:name="_GoBack"/>
      <w:bookmarkEnd w:id="0"/>
      <w:r>
        <w:rPr>
          <w:rFonts w:hint="eastAsia" w:ascii="仿宋_GB2312" w:hAnsi="仿宋_GB2312" w:eastAsia="仿宋_GB2312" w:cs="仿宋_GB2312"/>
          <w:b w:val="0"/>
          <w:bCs w:val="0"/>
          <w:strike w:val="0"/>
          <w:dstrike w:val="0"/>
          <w:color w:val="auto"/>
          <w:sz w:val="32"/>
          <w:szCs w:val="32"/>
          <w:lang w:val="en-US" w:eastAsia="zh-CN"/>
        </w:rPr>
        <w:t>可结合地方管理实际制定免于许可或豁免许可清单。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3.审批程序中的“向社会公示”特指批前公示。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2A43210"/>
    <w:rsid w:val="22A538B2"/>
    <w:rsid w:val="2A690FE4"/>
    <w:rsid w:val="45381F81"/>
    <w:rsid w:val="4A1947CF"/>
    <w:rsid w:val="5AE30C76"/>
    <w:rsid w:val="76601F15"/>
    <w:rsid w:val="B7FFA415"/>
    <w:rsid w:val="EE477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夏末央</cp:lastModifiedBy>
  <dcterms:modified xsi:type="dcterms:W3CDTF">2023-07-04T13:02:17Z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