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进入草原防火管制区延续审批（县级权限）</w:t>
      </w:r>
    </w:p>
    <w:p>
      <w:pPr>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【00016422700602】</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360" w:lineRule="auto"/>
        <w:ind w:firstLine="560" w:firstLineChars="200"/>
        <w:rPr>
          <w:rFonts w:hint="eastAsia" w:ascii="仿宋" w:hAnsi="仿宋" w:eastAsia="方正仿宋_GBK" w:cs="仿宋"/>
          <w:sz w:val="28"/>
          <w:szCs w:val="28"/>
          <w:lang w:val="en-US" w:eastAsia="zh-CN"/>
        </w:rPr>
      </w:pPr>
      <w:r>
        <w:rPr>
          <w:rFonts w:hint="eastAsia" w:ascii="方正仿宋_GBK" w:hAnsi="方正仿宋_GBK" w:eastAsia="方正仿宋_GBK" w:cs="方正仿宋_GBK"/>
          <w:sz w:val="28"/>
          <w:szCs w:val="28"/>
        </w:rPr>
        <w:t>进入森林高火险区、草原防火管制区审批【00016422700Y】</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进入草原防火管制区审批（县级权限）【000164227006】</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进入草原防火管制区延续审批（县级权限）</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00016422700602</w:t>
      </w:r>
      <w:r>
        <w:rPr>
          <w:rFonts w:ascii="方正仿宋_GBK" w:hAnsi="方正仿宋_GBK" w:eastAsia="方正仿宋_GBK" w:cs="方正仿宋_GBK"/>
          <w:sz w:val="28"/>
          <w:szCs w:val="28"/>
        </w:rPr>
        <w:t>】</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4.设定依据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《草原防火条例》第二十二条</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5.实施依据</w:t>
      </w:r>
      <w:r>
        <w:rPr>
          <w:rFonts w:ascii="Times New Roman" w:hAnsi="Times New Roman" w:eastAsia="仿宋GB2312"/>
          <w:b/>
          <w:bCs/>
          <w:sz w:val="28"/>
          <w:szCs w:val="28"/>
        </w:rPr>
        <w:t>：</w:t>
      </w:r>
      <w:r>
        <w:rPr>
          <w:rFonts w:ascii="方正仿宋_GBK" w:hAnsi="方正仿宋_GBK" w:eastAsia="方正仿宋_GBK" w:cs="方正仿宋_GBK"/>
          <w:sz w:val="28"/>
          <w:szCs w:val="28"/>
        </w:rPr>
        <w:t>《草原防火条例》第二十二条</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6.监管依据</w:t>
      </w:r>
      <w:r>
        <w:rPr>
          <w:rFonts w:ascii="Times New Roman" w:hAnsi="Times New Roman" w:eastAsia="仿宋GB2312"/>
          <w:b/>
          <w:bCs/>
          <w:sz w:val="28"/>
          <w:szCs w:val="28"/>
        </w:rPr>
        <w:t>：</w:t>
      </w:r>
      <w:r>
        <w:rPr>
          <w:rFonts w:ascii="方正仿宋_GBK" w:hAnsi="方正仿宋_GBK" w:eastAsia="方正仿宋_GBK" w:cs="方正仿宋_GBK"/>
          <w:sz w:val="28"/>
          <w:szCs w:val="28"/>
        </w:rPr>
        <w:t>《草原防火条例》第四十四条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县级林草部门</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进入草原防火管制区车辆的草原防火通行证审批</w:t>
      </w:r>
    </w:p>
    <w:p>
      <w:pPr>
        <w:spacing w:line="600" w:lineRule="exact"/>
        <w:ind w:firstLine="562" w:firstLineChars="200"/>
        <w:jc w:val="left"/>
        <w:rPr>
          <w:rFonts w:hint="default" w:ascii="方正仿宋_GBK" w:hAnsi="方正仿宋_GBK" w:eastAsia="方正仿宋_GBK" w:cs="方正仿宋_GBK"/>
          <w:sz w:val="28"/>
          <w:szCs w:val="28"/>
          <w:lang w:val="en-US" w:eastAsia="zh-CN"/>
        </w:rPr>
      </w:pPr>
      <w:r>
        <w:rPr>
          <w:rFonts w:hint="eastAsia" w:ascii="Times New Roman" w:hAnsi="Times New Roman" w:eastAsia="仿宋GB2312" w:cs="Times New Roman"/>
          <w:b/>
          <w:bCs/>
          <w:sz w:val="28"/>
          <w:szCs w:val="28"/>
          <w:lang w:val="en-US" w:eastAsia="zh-CN"/>
        </w:rPr>
        <w:t>15.要素统一情况：</w:t>
      </w:r>
      <w:r>
        <w:rPr>
          <w:rFonts w:hint="eastAsia" w:ascii="方正仿宋_GBK" w:hAnsi="方正仿宋_GBK" w:eastAsia="方正仿宋_GBK" w:cs="方正仿宋_GBK"/>
          <w:sz w:val="28"/>
          <w:szCs w:val="28"/>
          <w:lang w:val="en-US" w:eastAsia="zh-CN"/>
        </w:rPr>
        <w:t>全省要素统一</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行政许可条件</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1.准予行政许可的条件</w:t>
      </w:r>
      <w:r>
        <w:rPr>
          <w:rFonts w:ascii="Times New Roman" w:hAnsi="Times New Roman" w:eastAsia="仿宋GB2312"/>
          <w:b/>
          <w:bCs/>
          <w:sz w:val="28"/>
          <w:szCs w:val="28"/>
        </w:rPr>
        <w:t>：</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（1）无下列行为：吸烟、烧纸、烧香；烧蜂、狩猎；烤火、野炊、使用火把照明；燃放烟花爆竹和孔明灯；焚烧垃圾；其他非生产性用火行为；</w:t>
      </w:r>
    </w:p>
    <w:p>
      <w:pPr>
        <w:numPr>
          <w:ilvl w:val="0"/>
          <w:numId w:val="2"/>
        </w:num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依法执行“禁止携带火种和易燃易爆物品进入草原防火管制区”等草原防火有关规定；</w:t>
      </w:r>
    </w:p>
    <w:p>
      <w:pPr>
        <w:numPr>
          <w:ilvl w:val="0"/>
          <w:numId w:val="2"/>
        </w:numPr>
        <w:spacing w:line="600" w:lineRule="exact"/>
        <w:ind w:firstLine="560" w:firstLineChars="200"/>
        <w:outlineLvl w:val="9"/>
        <w:rPr>
          <w:rFonts w:ascii="方正仿宋_GBK" w:hAnsi="方正仿宋_GBK" w:eastAsia="方正仿宋_GBK" w:cs="方正仿宋_GBK"/>
          <w:sz w:val="28"/>
          <w:szCs w:val="28"/>
        </w:rPr>
      </w:pPr>
      <w:r>
        <w:rPr>
          <w:rFonts w:hint="eastAsia" w:ascii="方正仿宋_GBK" w:hAnsi="方正仿宋_GBK" w:eastAsia="方正仿宋_GBK" w:cs="方正仿宋_GBK"/>
          <w:b w:val="0"/>
          <w:bCs w:val="0"/>
          <w:strike w:val="0"/>
          <w:dstrike w:val="0"/>
          <w:color w:val="000000"/>
          <w:sz w:val="28"/>
          <w:szCs w:val="28"/>
          <w:lang w:val="en-US" w:eastAsia="zh-CN"/>
        </w:rPr>
        <w:t>草原管制区内禁止一切野外用火。</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b w:val="0"/>
          <w:bCs w:val="0"/>
          <w:strike w:val="0"/>
          <w:dstrike w:val="0"/>
          <w:color w:val="000000"/>
          <w:sz w:val="28"/>
          <w:szCs w:val="28"/>
          <w:lang w:val="en-US" w:eastAsia="zh-CN"/>
        </w:rPr>
        <w:t>《草原防火条例》第十八条、第二十一条、第二十二条。</w:t>
      </w:r>
    </w:p>
    <w:p>
      <w:pPr>
        <w:numPr>
          <w:ilvl w:val="0"/>
          <w:numId w:val="1"/>
        </w:numPr>
        <w:spacing w:line="540" w:lineRule="exact"/>
        <w:outlineLvl w:val="1"/>
        <w:rPr>
          <w:rFonts w:ascii="Times New Roman" w:hAnsi="Times New Roman" w:eastAsia="黑体"/>
          <w:sz w:val="28"/>
          <w:szCs w:val="28"/>
        </w:rPr>
      </w:pP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自然人，企业法人，事业单位法人，社会组织法人，非法人企业，行政机关，其他组织</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方正仿宋_GBK"/>
          <w:sz w:val="28"/>
          <w:szCs w:val="28"/>
          <w:lang w:eastAsia="zh-CN"/>
        </w:rPr>
      </w:pPr>
      <w:r>
        <w:rPr>
          <w:rFonts w:hint="eastAsia" w:ascii="Times New Roman" w:hAnsi="Times New Roman" w:eastAsia="仿宋GB2312"/>
          <w:b/>
          <w:bCs/>
          <w:sz w:val="28"/>
          <w:szCs w:val="28"/>
        </w:rPr>
        <w:t>5.改革方式：</w:t>
      </w:r>
      <w:r>
        <w:rPr>
          <w:rFonts w:hint="eastAsia" w:ascii="方正仿宋_GBK" w:hAnsi="方正仿宋_GBK" w:eastAsia="方正仿宋_GBK" w:cs="方正仿宋_GBK"/>
          <w:sz w:val="28"/>
          <w:szCs w:val="28"/>
          <w:lang w:eastAsia="zh-CN"/>
        </w:rPr>
        <w:t>减时限</w:t>
      </w:r>
    </w:p>
    <w:p>
      <w:pPr>
        <w:spacing w:line="54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6.具体改革举措</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将承诺审批时限由20个工作</w:t>
      </w:r>
      <w:r>
        <w:rPr>
          <w:rFonts w:hint="eastAsia" w:ascii="方正仿宋_GBK" w:hAnsi="方正仿宋_GBK" w:eastAsia="方正仿宋_GBK" w:cs="方正仿宋_GBK"/>
          <w:sz w:val="28"/>
          <w:szCs w:val="28"/>
          <w:lang w:eastAsia="zh-CN"/>
        </w:rPr>
        <w:t>日</w:t>
      </w:r>
      <w:r>
        <w:rPr>
          <w:rFonts w:hint="eastAsia" w:ascii="方正仿宋_GBK" w:hAnsi="方正仿宋_GBK" w:eastAsia="方正仿宋_GBK" w:cs="方正仿宋_GBK"/>
          <w:sz w:val="28"/>
          <w:szCs w:val="28"/>
        </w:rPr>
        <w:t>压减至5个工作日</w:t>
      </w:r>
    </w:p>
    <w:p>
      <w:pPr>
        <w:spacing w:line="54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（1）开展“双随机、一公开”监管，对风险等级高、投诉举报多的企业实施重点监管。检查结束后及时将结果反馈被许可人并向社会公开检查结果。对存在问题的，要求及时整改并依法处理。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（2）加强信用监管，加大监督检查力度，依法依规对失信主体开展失信惩戒。</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（3）加强“互联网+监管”，推动监管数据归集应用。</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（4）按照“谁审批、谁监管，谁主管、谁监管”的原则，指导各级林草主管部门落实相关监管责任，加强属地监管。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（5）强化社会监督，公布举报电话，依法及时处理投诉举报。</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申请材料</w:t>
      </w:r>
    </w:p>
    <w:p>
      <w:pPr>
        <w:spacing w:line="540" w:lineRule="exact"/>
        <w:ind w:firstLine="562" w:firstLineChars="200"/>
        <w:outlineLvl w:val="2"/>
        <w:rPr>
          <w:rFonts w:hint="eastAsia" w:ascii="方正仿宋_GBK" w:hAnsi="方正仿宋_GBK" w:eastAsia="方正仿宋_GBK" w:cs="方正仿宋_GBK"/>
          <w:sz w:val="28"/>
          <w:szCs w:val="28"/>
        </w:rPr>
      </w:pPr>
      <w:r>
        <w:rPr>
          <w:rFonts w:hint="eastAsia" w:ascii="Times New Roman" w:hAnsi="Times New Roman" w:eastAsia="仿宋GB2312"/>
          <w:b/>
          <w:bCs/>
          <w:sz w:val="28"/>
          <w:szCs w:val="28"/>
        </w:rPr>
        <w:t>1.申请材料名称</w:t>
      </w:r>
      <w:r>
        <w:rPr>
          <w:rFonts w:ascii="Times New Roman" w:hAnsi="Times New Roman" w:eastAsia="仿宋GB2312"/>
          <w:b/>
          <w:bCs/>
          <w:sz w:val="28"/>
          <w:szCs w:val="28"/>
        </w:rPr>
        <w:t>：</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val="0"/>
          <w:bCs w:val="0"/>
          <w:strike w:val="0"/>
          <w:dstrike w:val="0"/>
          <w:color w:val="000000"/>
          <w:sz w:val="28"/>
          <w:szCs w:val="28"/>
          <w:lang w:val="en-US" w:eastAsia="zh-CN"/>
        </w:rPr>
        <w:t>延续申请书。</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r>
        <w:rPr>
          <w:rFonts w:hint="eastAsia" w:ascii="方正仿宋_GBK" w:hAnsi="方正仿宋_GBK" w:eastAsia="方正仿宋_GBK" w:cs="方正仿宋_GBK"/>
          <w:b w:val="0"/>
          <w:bCs w:val="0"/>
          <w:strike w:val="0"/>
          <w:dstrike w:val="0"/>
          <w:color w:val="auto"/>
          <w:sz w:val="28"/>
          <w:szCs w:val="28"/>
          <w:lang w:val="en-US" w:eastAsia="zh-CN"/>
        </w:rPr>
        <w:t>暂无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r>
        <w:rPr>
          <w:rFonts w:ascii="Times New Roman" w:hAnsi="Times New Roman" w:eastAsia="仿宋GB2312"/>
          <w:b/>
          <w:bCs/>
          <w:sz w:val="28"/>
          <w:szCs w:val="28"/>
        </w:rPr>
        <w:t>：</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（1）申请；</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（2）受理；</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（3）审查；</w:t>
      </w:r>
    </w:p>
    <w:p>
      <w:pPr>
        <w:spacing w:line="600" w:lineRule="exact"/>
        <w:ind w:firstLine="560" w:firstLineChars="200"/>
        <w:rPr>
          <w:rFonts w:hint="eastAsia" w:ascii="方正仿宋_GBK" w:hAnsi="方正仿宋_GBK" w:eastAsia="方正仿宋_GBK" w:cs="方正仿宋_GBK"/>
          <w:b w:val="0"/>
          <w:bCs w:val="0"/>
          <w:strike w:val="0"/>
          <w:dstrike w:val="0"/>
          <w:color w:val="000000"/>
          <w:sz w:val="28"/>
          <w:szCs w:val="28"/>
          <w:lang w:val="en-US" w:eastAsia="zh-CN"/>
        </w:rPr>
      </w:pPr>
      <w:r>
        <w:rPr>
          <w:rFonts w:hint="eastAsia" w:ascii="方正仿宋_GBK" w:hAnsi="方正仿宋_GBK" w:eastAsia="方正仿宋_GBK" w:cs="方正仿宋_GBK"/>
          <w:b w:val="0"/>
          <w:bCs w:val="0"/>
          <w:strike w:val="0"/>
          <w:dstrike w:val="0"/>
          <w:color w:val="000000"/>
          <w:sz w:val="28"/>
          <w:szCs w:val="28"/>
          <w:lang w:val="en-US" w:eastAsia="zh-CN"/>
        </w:rPr>
        <w:t>（4）决定;</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b w:val="0"/>
          <w:bCs w:val="0"/>
          <w:strike w:val="0"/>
          <w:dstrike w:val="0"/>
          <w:color w:val="000000"/>
          <w:sz w:val="28"/>
          <w:szCs w:val="28"/>
          <w:lang w:val="en-US" w:eastAsia="zh-CN"/>
        </w:rPr>
        <w:t>（5）送达。</w:t>
      </w:r>
    </w:p>
    <w:p>
      <w:pPr>
        <w:spacing w:line="540" w:lineRule="exact"/>
        <w:ind w:firstLine="562" w:firstLineChars="200"/>
        <w:outlineLvl w:val="2"/>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Times New Roman" w:hAnsi="Times New Roman" w:eastAsia="仿宋GB2312"/>
          <w:b/>
          <w:bCs/>
          <w:sz w:val="28"/>
          <w:szCs w:val="28"/>
        </w:rPr>
        <w:t>2.规定行政许可程序的依据</w:t>
      </w:r>
      <w:r>
        <w:rPr>
          <w:rFonts w:ascii="Times New Roman" w:hAnsi="Times New Roman" w:eastAsia="仿宋GB2312"/>
          <w:b/>
          <w:bCs/>
          <w:sz w:val="28"/>
          <w:szCs w:val="28"/>
        </w:rPr>
        <w:t>：</w:t>
      </w:r>
      <w:r>
        <w:rPr>
          <w:rFonts w:hint="eastAsia" w:ascii="方正仿宋_GBK" w:hAnsi="方正仿宋_GBK" w:eastAsia="方正仿宋_GBK" w:cs="方正仿宋_GBK"/>
          <w:b w:val="0"/>
          <w:bCs w:val="0"/>
          <w:strike w:val="0"/>
          <w:dstrike w:val="0"/>
          <w:color w:val="auto"/>
          <w:sz w:val="28"/>
          <w:szCs w:val="28"/>
          <w:lang w:val="en-US" w:eastAsia="zh-CN"/>
        </w:rPr>
        <w:t>《中华人民共和国行政许可法》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hint="eastAsia" w:ascii="方正仿宋_GBK" w:hAnsi="方正仿宋_GBK" w:eastAsia="方正仿宋_GBK" w:cs="方正仿宋_GBK"/>
          <w:b w:val="0"/>
          <w:bCs w:val="0"/>
          <w:strike w:val="0"/>
          <w:dstrike w:val="0"/>
          <w:color w:val="auto"/>
          <w:sz w:val="28"/>
          <w:szCs w:val="28"/>
          <w:lang w:val="en-US" w:eastAsia="zh-CN"/>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ins w:id="0" w:author="汤镒帆" w:date="2023-11-14T17:37:47Z">
        <w:r>
          <w:rPr>
            <w:rFonts w:hint="eastAsia" w:ascii="方正仿宋_GBK" w:hAnsi="方正仿宋_GBK" w:eastAsia="方正仿宋_GBK" w:cs="方正仿宋_GBK"/>
            <w:sz w:val="28"/>
            <w:szCs w:val="28"/>
            <w:lang w:val="en-US" w:eastAsia="zh-CN"/>
          </w:rPr>
          <w:t>1</w:t>
        </w:r>
      </w:ins>
      <w:ins w:id="1" w:author="汤镒帆" w:date="2023-11-14T17:37:47Z">
        <w:r>
          <w:rPr>
            <w:rFonts w:ascii="方正仿宋_GBK" w:hAnsi="方正仿宋_GBK" w:eastAsia="方正仿宋_GBK" w:cs="方正仿宋_GBK"/>
            <w:sz w:val="28"/>
            <w:szCs w:val="28"/>
          </w:rPr>
          <w:t>个工作日</w:t>
        </w:r>
      </w:ins>
      <w:bookmarkStart w:id="0" w:name="_GoBack"/>
      <w:bookmarkEnd w:id="0"/>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2.法定审批时限：</w:t>
      </w:r>
      <w:r>
        <w:rPr>
          <w:rFonts w:hint="eastAsia" w:ascii="方正仿宋_GBK" w:hAnsi="方正仿宋_GBK" w:eastAsia="方正仿宋_GBK" w:cs="方正仿宋_GBK"/>
          <w:sz w:val="28"/>
          <w:szCs w:val="28"/>
        </w:rPr>
        <w:t>20个工作日</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lang w:val="en-US" w:eastAsia="zh-CN"/>
        </w:rPr>
        <w:t>5</w:t>
      </w:r>
      <w:r>
        <w:rPr>
          <w:rFonts w:ascii="方正仿宋_GBK" w:hAnsi="方正仿宋_GBK" w:eastAsia="方正仿宋_GBK" w:cs="方正仿宋_GBK"/>
          <w:sz w:val="28"/>
          <w:szCs w:val="28"/>
        </w:rPr>
        <w:t>个工作日</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收费</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2.收费项目的名称、收费项目的标准、设定收费项目的依据、规定收费标准的依据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其他</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草原防火通行证</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以审批确定的有效期限为准</w:t>
      </w:r>
    </w:p>
    <w:p>
      <w:pPr>
        <w:spacing w:line="600" w:lineRule="exact"/>
        <w:ind w:firstLine="562" w:firstLineChars="200"/>
        <w:rPr>
          <w:rFonts w:ascii="Times New Roman" w:hAnsi="Times New Roman" w:eastAsia="仿宋GB2312"/>
          <w:sz w:val="32"/>
          <w:szCs w:val="32"/>
        </w:rPr>
      </w:pPr>
      <w:r>
        <w:rPr>
          <w:rFonts w:hint="eastAsia" w:ascii="Times New Roman" w:hAnsi="Times New Roman" w:eastAsia="仿宋GB2312"/>
          <w:b/>
          <w:bCs/>
          <w:sz w:val="28"/>
          <w:szCs w:val="28"/>
        </w:rPr>
        <w:t>4.规定审批结果有效期限的依据</w:t>
      </w:r>
      <w:r>
        <w:rPr>
          <w:rFonts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ascii="Times New Roman" w:hAnsi="Times New Roman" w:eastAsia="仿宋GB2312"/>
          <w:sz w:val="32"/>
          <w:szCs w:val="32"/>
        </w:rPr>
      </w:pPr>
      <w:r>
        <w:rPr>
          <w:rFonts w:hint="eastAsia" w:ascii="Times New Roman" w:hAnsi="Times New Roman" w:eastAsia="仿宋GB2312"/>
          <w:b/>
          <w:bCs/>
          <w:sz w:val="28"/>
          <w:szCs w:val="28"/>
        </w:rPr>
        <w:t>6.办理审批结果变更手续的要求</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ascii="Times New Roman" w:hAnsi="Times New Roman" w:eastAsia="仿宋GB2312"/>
          <w:sz w:val="32"/>
          <w:szCs w:val="32"/>
        </w:rPr>
      </w:pPr>
      <w:r>
        <w:rPr>
          <w:rFonts w:hint="eastAsia" w:ascii="Times New Roman" w:hAnsi="Times New Roman" w:eastAsia="仿宋GB2312"/>
          <w:b/>
          <w:bCs/>
          <w:sz w:val="28"/>
          <w:szCs w:val="28"/>
        </w:rPr>
        <w:t>8.办理审批结果延续手续的要求</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9.审批结果的有效地域范围</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以审批确定的范围为准</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10.规定审批结果有效地域范围的依据</w:t>
      </w:r>
      <w:r>
        <w:rPr>
          <w:rFonts w:ascii="Times New Roman" w:hAnsi="Times New Roman" w:eastAsia="仿宋GB2312"/>
          <w:b/>
          <w:bCs/>
          <w:sz w:val="28"/>
          <w:szCs w:val="28"/>
        </w:rPr>
        <w:t>：</w:t>
      </w:r>
      <w:r>
        <w:rPr>
          <w:rFonts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行政许可数量限制</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ascii="Times New Roman" w:hAnsi="Times New Roman" w:eastAsia="仿宋GB2312"/>
          <w:sz w:val="28"/>
          <w:szCs w:val="28"/>
        </w:rPr>
      </w:pPr>
      <w:r>
        <w:rPr>
          <w:rFonts w:hint="eastAsia" w:ascii="Times New Roman" w:hAnsi="Times New Roman" w:eastAsia="仿宋GB2312"/>
          <w:b/>
          <w:bCs/>
          <w:sz w:val="28"/>
          <w:szCs w:val="28"/>
        </w:rPr>
        <w:t>5.规定在数量限制条件下实施行政许可方式的依据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2.设定年检要求的依据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r>
        <w:rPr>
          <w:rFonts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行政许可后年报</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方正仿宋_GBK" w:hAnsi="方正仿宋_GBK" w:eastAsia="方正仿宋_GBK" w:cs="方正仿宋_GBK"/>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r>
        <w:rPr>
          <w:rFonts w:hint="eastAsia"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numPr>
          <w:ilvl w:val="0"/>
          <w:numId w:val="1"/>
        </w:num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监管主体</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省</w:t>
      </w:r>
      <w:r>
        <w:rPr>
          <w:rFonts w:hint="eastAsia" w:ascii="方正仿宋_GBK" w:hAnsi="方正仿宋_GBK" w:eastAsia="方正仿宋_GBK" w:cs="方正仿宋_GBK"/>
          <w:sz w:val="28"/>
          <w:szCs w:val="28"/>
          <w:lang w:eastAsia="zh-CN"/>
        </w:rPr>
        <w:t>林草局</w:t>
      </w:r>
      <w:r>
        <w:rPr>
          <w:rFonts w:hint="eastAsia" w:ascii="方正仿宋_GBK" w:hAnsi="方正仿宋_GBK" w:eastAsia="方正仿宋_GBK" w:cs="方正仿宋_GBK"/>
          <w:sz w:val="28"/>
          <w:szCs w:val="28"/>
        </w:rPr>
        <w:t>、设区的市级林草部门、县级林草部门</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十五、备注</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GB2312">
    <w:altName w:val="方正仿宋_GBK"/>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F30B91"/>
    <w:multiLevelType w:val="singleLevel"/>
    <w:tmpl w:val="EFF30B91"/>
    <w:lvl w:ilvl="0" w:tentative="0">
      <w:start w:val="1"/>
      <w:numFmt w:val="chineseCounting"/>
      <w:suff w:val="nothing"/>
      <w:lvlText w:val="%1、"/>
      <w:lvlJc w:val="left"/>
      <w:rPr>
        <w:rFonts w:hint="eastAsia"/>
      </w:rPr>
    </w:lvl>
  </w:abstractNum>
  <w:abstractNum w:abstractNumId="1">
    <w:nsid w:val="FFEC46C3"/>
    <w:multiLevelType w:val="singleLevel"/>
    <w:tmpl w:val="FFEC46C3"/>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4MzVlNjk0M2ViNzEzYjEyZTgwNDYzOTU3YzMzZWUifQ=="/>
  </w:docVars>
  <w:rsids>
    <w:rsidRoot w:val="00172A27"/>
    <w:rsid w:val="00071744"/>
    <w:rsid w:val="00172A27"/>
    <w:rsid w:val="00AB5B47"/>
    <w:rsid w:val="00C154B6"/>
    <w:rsid w:val="00DC4EBE"/>
    <w:rsid w:val="0317785A"/>
    <w:rsid w:val="5F6E490D"/>
    <w:rsid w:val="7DFF0DAF"/>
    <w:rsid w:val="7DFF3507"/>
    <w:rsid w:val="B3DFBC32"/>
    <w:rsid w:val="CDFFF83C"/>
    <w:rsid w:val="F31F8AAE"/>
    <w:rsid w:val="F6DE109E"/>
    <w:rsid w:val="FEBDA97B"/>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0"/>
    <w:qFormat/>
    <w:uiPriority w:val="0"/>
    <w:rPr>
      <w:sz w:val="18"/>
      <w:szCs w:val="18"/>
    </w:rPr>
  </w:style>
  <w:style w:type="paragraph" w:styleId="4">
    <w:name w:val="footer"/>
    <w:basedOn w:val="1"/>
    <w:link w:val="8"/>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脚 Char"/>
    <w:link w:val="4"/>
    <w:qFormat/>
    <w:uiPriority w:val="0"/>
    <w:rPr>
      <w:rFonts w:ascii="Calibri" w:hAnsi="Calibri"/>
      <w:kern w:val="2"/>
      <w:sz w:val="18"/>
      <w:szCs w:val="18"/>
    </w:rPr>
  </w:style>
  <w:style w:type="character" w:customStyle="1" w:styleId="9">
    <w:name w:val="页眉 Char"/>
    <w:link w:val="5"/>
    <w:qFormat/>
    <w:uiPriority w:val="0"/>
    <w:rPr>
      <w:rFonts w:ascii="Calibri" w:hAnsi="Calibri"/>
      <w:kern w:val="2"/>
      <w:sz w:val="18"/>
      <w:szCs w:val="18"/>
    </w:rPr>
  </w:style>
  <w:style w:type="character" w:customStyle="1" w:styleId="10">
    <w:name w:val="批注框文本 Char"/>
    <w:basedOn w:val="6"/>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303</Words>
  <Characters>1731</Characters>
  <Lines>14</Lines>
  <Paragraphs>4</Paragraphs>
  <TotalTime>0</TotalTime>
  <ScaleCrop>false</ScaleCrop>
  <LinksUpToDate>false</LinksUpToDate>
  <CharactersWithSpaces>2030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2020-07-26T08:39:00Z</dcterms:created>
  <dc:creator>49152</dc:creator>
  <cp:lastModifiedBy>汤镒帆</cp:lastModifiedBy>
  <cp:lastPrinted>2022-06-18T22:53:00Z</cp:lastPrinted>
  <dcterms:modified xsi:type="dcterms:W3CDTF">2023-11-14T09:37:50Z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8538FE0699894DDBB52C9CC2A83EAC20</vt:lpwstr>
  </property>
  <property fmtid="{D5CDD505-2E9C-101B-9397-08002B2CF9AE}" pid="3" name="KSOProductBuildVer">
    <vt:lpwstr>2052-10.8.0.6018</vt:lpwstr>
  </property>
</Properties>
</file>