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玉溪市生态环境局元江分局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</w:t>
      </w:r>
    </w:p>
    <w:p>
      <w:pPr>
        <w:pStyle w:val="4"/>
        <w:widowControl/>
        <w:spacing w:beforeAutospacing="0" w:afterAutospacing="0"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信息公开工作年度报告</w:t>
      </w:r>
    </w:p>
    <w:p>
      <w:pPr>
        <w:pStyle w:val="4"/>
        <w:widowControl/>
        <w:spacing w:beforeAutospacing="0" w:afterAutospacing="0"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玉溪市生态环境局元江分局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自觉把政府信息公开纳入总体工作部署，精心组织，稳步推进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，根据《中华人民共和国政府信息公开条例》《环境保护部环境信息公开办法（试行）》有关规定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，确保政府信息公开工作落到实处。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局元江分局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深入学习贯彻习近平新时代中国特色社会主义思想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党的十九大精神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，牢固树立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绿水青山就是金山银山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理念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，以改进环境质量为核心，以解决环境领域突出问题为重点，深入推进决策、执行、管理、服务、结果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。同时，紧紧围绕公众关切的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环保问题，根据《生态环境部落实20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年政务公开工作要点实施方案》《生态环境部政府信息公开实施办法》的要求，不断加强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信息公开内容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，扩大公众参与，增强公开实效，拓展公开范围，完善制度机制和平台建设，政府信息公开工作取得明显成效。</w:t>
      </w: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本年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条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本年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本年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（一）主动公开政府信息数量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截至2020年12月31日，我局门户网站共发布226条信息，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向省市生态环境网站报送我局生态环保政务信息41条（篇）。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根据今年工作重点，制作完成1个网站专题：预决算公开专栏。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（二）主动公开政府信息的主要类别及数量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动公开牵头的重点领域信息包含5大类，共8项，分别是：行政执法（污染投诉、现场监察、查处环境违法行为、污染纠纷调处）、环评审批、环境空气质量报告、工作动态和预决算公开专栏。通过门户网站公开政府信息数为226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（三）主动公开政府信息的形式及公开情况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动公开政府信息的形式主要包括：门户网站、环境状况公报、“两微”以及广播电视等。一是高度重视，关注回应公众关心的生态环境保护问题，紧紧围绕稳增长、促改革、调结构、惠民生和防风险工作，全面推进决策、执行、管理、服务和结果公开的“五公开”工作。我局制定了包括信息公开基本原则、组织机构及职责、主要任务及重点内容、公开方式及程序、监督与责任等在内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《玉溪市生态环境局元江分局政务公开实施办法（试行）》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并在门户网站开设重点领域信息公开专栏，对牵头的重点领域信息进行集中公开。专栏集中公开了空气环境、水质环境、建设项目环境影响评价、建设项目竣工环保验收、环境监管执法、突发环境事件、环境保护督察、部门预决算以及企业环境信息等牵头的重点领域信息。二是及时专项工作整改推进情况。2020年，我局集中开展了系列环境保护督察问题整改专项检查、“绿盾2020”等专项工作，根据信息公开要求，不定期向社会公开专项行动计划、推进情况及其相关问题整改情况，部分形成专报向上级报送。三是围绕生态环保重点工作、打好污染防治攻坚战等重点任务，及时公布《水污染防治行动计划》《土壤污染防治行动计划》及大气污染防治工作进展、环境保护法实施、生态环境行政管理与监督执法等情况，向社会公众传递及时、准确、权威信息。四是加强与玉溪环境、元江电视台以及热情元江等媒体的合作，大力宣传我县生态环境保护工作。五是及时在门户网站显著位置发布年度环境状况公报。同时，为方便公众参与环保监督，我局按照省厅下发《关于开通“12369”环保微信举报的通知》要求，做好宣传引导，开通并落实地方“12369”24小时环保举报，进一步拓宽了举报渠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（四）回应社会关切和舆情处置情况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局严格按照“属地管理、分级负责、谁主管谁负责”原则，加强舆情收集、研判和回应处置。1年来，除继续做好中央环保督察整改阶段的网络舆情监测外，还针对“云南万绿生物股份有限公司北厂、金珂二厂废水排放异常舆情”“县污水处理厂外排水质异常舆情”等社会关注度高的网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舆情，均第一时间形成网络舆情信息答复。截至12月31日，共回复网站留言信息2条。</w:t>
      </w:r>
    </w:p>
    <w:p>
      <w:pPr>
        <w:pStyle w:val="4"/>
        <w:widowControl/>
        <w:spacing w:beforeAutospacing="0" w:afterAutospacing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2020年度，我局共受理依申请公开20件，主要是通过网络申请的方式受理，数量居前的事项主要是建设项目环境影响报告表、书。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4"/>
        <w:spacing w:beforeAutospacing="0" w:afterAutospacing="0"/>
        <w:ind w:firstLine="480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存在的问题：我局政府信息公开的数量、政策解读工作等方面还需进一步改进。</w:t>
      </w:r>
    </w:p>
    <w:p>
      <w:pPr>
        <w:pStyle w:val="4"/>
        <w:spacing w:beforeAutospacing="0" w:afterAutospacing="0"/>
        <w:ind w:firstLine="480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改进情况：进一步提高信息公开更新频率，加强政策解读力度。结合工作实际，加强对属于主动公开的，涉及面广、社会关注度高的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eastAsia="zh-CN"/>
        </w:rPr>
        <w:t>生态环境保护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领域政策文件的解读。对各类公开的内容进行进一步规范和梳理，不断提高政府信息公开质量。</w:t>
      </w:r>
    </w:p>
    <w:p>
      <w:pPr>
        <w:pStyle w:val="4"/>
        <w:widowControl/>
        <w:spacing w:beforeAutospacing="0" w:afterAutospacing="0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（一）本报告中所列数据的统计时间为2020年1月1日至2020年12月31日。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（二）如对本报告有任何疑问，请与元江县生态环境局元江分局办公室联系（联系地址：元江县兴元路8号会堂四楼，邮政编码：6553300，联系电话：0877-6515136）</w:t>
      </w:r>
    </w:p>
    <w:p>
      <w:pPr>
        <w:ind w:firstLine="52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（三）公开网址：</w:t>
      </w:r>
    </w:p>
    <w:p>
      <w:pPr>
        <w:ind w:firstLine="5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http://xxgk.yuxi.gov.cn/yjxzfxxgk/yjxhjbhj/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玉溪市生态环境局元江分局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2021年1月28日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216"/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214"/>
    </w:sdtPr>
    <w:sdtContent>
      <w:p>
        <w:pPr>
          <w:pStyle w:val="2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21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Tk3NzhlNWNjNTE2ZTc3ZWYxMDAyY2UzYzBlZjYifQ=="/>
  </w:docVars>
  <w:rsids>
    <w:rsidRoot w:val="388D78C9"/>
    <w:rsid w:val="00130054"/>
    <w:rsid w:val="00194423"/>
    <w:rsid w:val="00472B9B"/>
    <w:rsid w:val="00475884"/>
    <w:rsid w:val="00557902"/>
    <w:rsid w:val="006D673B"/>
    <w:rsid w:val="00887783"/>
    <w:rsid w:val="009F2577"/>
    <w:rsid w:val="00A14646"/>
    <w:rsid w:val="00B67D18"/>
    <w:rsid w:val="00C07257"/>
    <w:rsid w:val="00D87E83"/>
    <w:rsid w:val="00FD5A81"/>
    <w:rsid w:val="04352089"/>
    <w:rsid w:val="141C1195"/>
    <w:rsid w:val="1E4F1333"/>
    <w:rsid w:val="257F7CDD"/>
    <w:rsid w:val="2614733A"/>
    <w:rsid w:val="2ABE2F08"/>
    <w:rsid w:val="2BB45FC1"/>
    <w:rsid w:val="30BA7413"/>
    <w:rsid w:val="33D0093D"/>
    <w:rsid w:val="388D78C9"/>
    <w:rsid w:val="3BC2000E"/>
    <w:rsid w:val="50401572"/>
    <w:rsid w:val="60AC584C"/>
    <w:rsid w:val="69116FED"/>
    <w:rsid w:val="6C1C4D8D"/>
    <w:rsid w:val="6D1D7CFD"/>
    <w:rsid w:val="79E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2547</Words>
  <Characters>2683</Characters>
  <Lines>12</Lines>
  <Paragraphs>3</Paragraphs>
  <TotalTime>0</TotalTime>
  <ScaleCrop>false</ScaleCrop>
  <LinksUpToDate>false</LinksUpToDate>
  <CharactersWithSpaces>2740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2020-02-06T09:00:00Z</dcterms:created>
  <dc:creator>午夜阳光1390285921</dc:creator>
  <cp:lastModifiedBy>墨影</cp:lastModifiedBy>
  <cp:lastPrinted>2020-02-11T01:24:00Z</cp:lastPrinted>
  <dcterms:modified xsi:type="dcterms:W3CDTF">2023-07-19T13:14:11Z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62A481096F2C4DEF856F8809B29EBF1B_12</vt:lpwstr>
  </property>
</Properties>
</file>