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75" w:beforeAutospacing="0" w:after="75" w:afterAutospacing="0" w:line="555" w:lineRule="atLeast"/>
        <w:ind w:left="0" w:right="0" w:firstLine="645"/>
      </w:pPr>
      <w:r>
        <w:rPr>
          <w:rFonts w:ascii="方正黑体_GBK" w:hAnsi="方正黑体_GBK" w:eastAsia="方正黑体_GBK" w:cs="方正黑体_GBK"/>
          <w:sz w:val="31"/>
          <w:szCs w:val="31"/>
        </w:rPr>
        <w:t>一、总体情况</w:t>
      </w:r>
    </w:p>
    <w:p>
      <w:pPr>
        <w:pStyle w:val="4"/>
        <w:keepNext w:val="0"/>
        <w:keepLines w:val="0"/>
        <w:widowControl/>
        <w:suppressLineNumbers w:val="0"/>
        <w:spacing w:before="75" w:beforeAutospacing="0" w:after="75" w:afterAutospacing="0" w:line="555" w:lineRule="atLeast"/>
        <w:ind w:left="0" w:right="0" w:firstLine="645"/>
      </w:pPr>
      <w:r>
        <w:rPr>
          <w:rFonts w:ascii="方正仿宋_GBK" w:hAnsi="方正仿宋_GBK" w:eastAsia="方正仿宋_GBK" w:cs="方正仿宋_GBK"/>
          <w:sz w:val="31"/>
          <w:szCs w:val="31"/>
        </w:rPr>
        <w:t>根据《中华人民共和国政府信息公开条例》</w:t>
      </w:r>
      <w:r>
        <w:rPr>
          <w:rFonts w:hint="default" w:ascii="Times New Roman" w:hAnsi="Times New Roman" w:eastAsia="方正仿宋_GBK" w:cs="Times New Roman"/>
          <w:sz w:val="31"/>
          <w:szCs w:val="31"/>
        </w:rPr>
        <w:t>(</w:t>
      </w:r>
      <w:r>
        <w:rPr>
          <w:rFonts w:hint="eastAsia" w:ascii="方正仿宋_GBK" w:hAnsi="方正仿宋_GBK" w:eastAsia="方正仿宋_GBK" w:cs="方正仿宋_GBK"/>
          <w:sz w:val="31"/>
          <w:szCs w:val="31"/>
        </w:rPr>
        <w:t>以下简称《条例》</w:t>
      </w:r>
      <w:r>
        <w:rPr>
          <w:rFonts w:hint="default" w:ascii="Times New Roman" w:hAnsi="Times New Roman" w:eastAsia="方正仿宋_GBK" w:cs="Times New Roman"/>
          <w:sz w:val="31"/>
          <w:szCs w:val="31"/>
        </w:rPr>
        <w:t>)</w:t>
      </w:r>
      <w:r>
        <w:rPr>
          <w:rFonts w:hint="eastAsia" w:ascii="方正仿宋_GBK" w:hAnsi="方正仿宋_GBK" w:eastAsia="方正仿宋_GBK" w:cs="方正仿宋_GBK"/>
          <w:sz w:val="31"/>
          <w:szCs w:val="31"/>
        </w:rPr>
        <w:t>和玉溪市</w:t>
      </w:r>
      <w:r>
        <w:rPr>
          <w:rFonts w:hint="default" w:ascii="Times New Roman" w:hAnsi="Times New Roman" w:eastAsia="方正仿宋_GBK" w:cs="Times New Roman"/>
          <w:sz w:val="31"/>
          <w:szCs w:val="31"/>
        </w:rPr>
        <w:t>2021</w:t>
      </w:r>
      <w:r>
        <w:rPr>
          <w:rFonts w:hint="eastAsia" w:ascii="方正仿宋_GBK" w:hAnsi="方正仿宋_GBK" w:eastAsia="方正仿宋_GBK" w:cs="方正仿宋_GBK"/>
          <w:sz w:val="31"/>
          <w:szCs w:val="31"/>
        </w:rPr>
        <w:t>年信息公开工作要点，特向社会公布</w:t>
      </w:r>
      <w:r>
        <w:rPr>
          <w:rFonts w:hint="default" w:ascii="Times New Roman" w:hAnsi="Times New Roman" w:eastAsia="方正仿宋_GBK" w:cs="Times New Roman"/>
          <w:sz w:val="31"/>
          <w:szCs w:val="31"/>
        </w:rPr>
        <w:t>2021</w:t>
      </w:r>
      <w:r>
        <w:rPr>
          <w:rFonts w:hint="eastAsia" w:ascii="方正仿宋_GBK" w:hAnsi="方正仿宋_GBK" w:eastAsia="方正仿宋_GBK" w:cs="方正仿宋_GBK"/>
          <w:sz w:val="31"/>
          <w:szCs w:val="31"/>
        </w:rPr>
        <w:t>年度本级政府信息公开工作年度报告。本报告由总体情况、主动公开政府信息情况、收到和处理政府信息公开申请情况、政府信息公开行政复议行政诉讼情况、存在的主要问题及改进情况、其他需要报告的事项等六个部分组成。本报告所列数据的统计期限自</w:t>
      </w:r>
      <w:r>
        <w:rPr>
          <w:rFonts w:hint="default" w:ascii="Times New Roman" w:hAnsi="Times New Roman" w:eastAsia="方正仿宋_GBK" w:cs="Times New Roman"/>
          <w:sz w:val="31"/>
          <w:szCs w:val="31"/>
        </w:rPr>
        <w:t>2021</w:t>
      </w:r>
      <w:r>
        <w:rPr>
          <w:rFonts w:hint="eastAsia" w:ascii="方正仿宋_GBK" w:hAnsi="方正仿宋_GBK" w:eastAsia="方正仿宋_GBK" w:cs="方正仿宋_GBK"/>
          <w:sz w:val="31"/>
          <w:szCs w:val="31"/>
        </w:rPr>
        <w:t>年</w:t>
      </w: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月</w:t>
      </w: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日起至</w:t>
      </w:r>
      <w:r>
        <w:rPr>
          <w:rFonts w:hint="default" w:ascii="Times New Roman" w:hAnsi="Times New Roman" w:eastAsia="方正仿宋_GBK" w:cs="Times New Roman"/>
          <w:sz w:val="31"/>
          <w:szCs w:val="31"/>
        </w:rPr>
        <w:t>2021</w:t>
      </w:r>
      <w:r>
        <w:rPr>
          <w:rFonts w:hint="eastAsia" w:ascii="方正仿宋_GBK" w:hAnsi="方正仿宋_GBK" w:eastAsia="方正仿宋_GBK" w:cs="方正仿宋_GBK"/>
          <w:sz w:val="31"/>
          <w:szCs w:val="31"/>
        </w:rPr>
        <w:t>年</w:t>
      </w:r>
      <w:r>
        <w:rPr>
          <w:rFonts w:hint="default" w:ascii="Times New Roman" w:hAnsi="Times New Roman" w:eastAsia="方正仿宋_GBK" w:cs="Times New Roman"/>
          <w:sz w:val="31"/>
          <w:szCs w:val="31"/>
        </w:rPr>
        <w:t>12</w:t>
      </w:r>
      <w:r>
        <w:rPr>
          <w:rFonts w:hint="eastAsia" w:ascii="方正仿宋_GBK" w:hAnsi="方正仿宋_GBK" w:eastAsia="方正仿宋_GBK" w:cs="方正仿宋_GBK"/>
          <w:sz w:val="31"/>
          <w:szCs w:val="31"/>
        </w:rPr>
        <w:t>月</w:t>
      </w:r>
      <w:r>
        <w:rPr>
          <w:rFonts w:hint="default" w:ascii="Times New Roman" w:hAnsi="Times New Roman" w:eastAsia="方正仿宋_GBK" w:cs="Times New Roman"/>
          <w:sz w:val="31"/>
          <w:szCs w:val="31"/>
        </w:rPr>
        <w:t>31</w:t>
      </w:r>
      <w:r>
        <w:rPr>
          <w:rFonts w:hint="eastAsia" w:ascii="方正仿宋_GBK" w:hAnsi="方正仿宋_GBK" w:eastAsia="方正仿宋_GBK" w:cs="方正仿宋_GBK"/>
          <w:sz w:val="31"/>
          <w:szCs w:val="31"/>
        </w:rPr>
        <w:t>日止。本报告有任何疑问，请与甘庄街道办事处联系</w:t>
      </w:r>
      <w:r>
        <w:rPr>
          <w:rFonts w:hint="default" w:ascii="Times New Roman" w:hAnsi="Times New Roman" w:eastAsia="方正仿宋_GBK" w:cs="Times New Roman"/>
          <w:sz w:val="31"/>
          <w:szCs w:val="31"/>
        </w:rPr>
        <w:t>(</w:t>
      </w:r>
      <w:r>
        <w:rPr>
          <w:rFonts w:hint="eastAsia" w:ascii="方正仿宋_GBK" w:hAnsi="方正仿宋_GBK" w:eastAsia="方正仿宋_GBK" w:cs="方正仿宋_GBK"/>
          <w:sz w:val="31"/>
          <w:szCs w:val="31"/>
        </w:rPr>
        <w:t>地址：元江县甘庄街道政府大楼；邮编：</w:t>
      </w:r>
      <w:r>
        <w:rPr>
          <w:rFonts w:hint="default" w:ascii="Times New Roman" w:hAnsi="Times New Roman" w:eastAsia="方正仿宋_GBK" w:cs="Times New Roman"/>
          <w:sz w:val="31"/>
          <w:szCs w:val="31"/>
        </w:rPr>
        <w:t>653308</w:t>
      </w:r>
      <w:r>
        <w:rPr>
          <w:rFonts w:hint="eastAsia" w:ascii="方正仿宋_GBK" w:hAnsi="方正仿宋_GBK" w:eastAsia="方正仿宋_GBK" w:cs="方正仿宋_GBK"/>
          <w:sz w:val="31"/>
          <w:szCs w:val="31"/>
        </w:rPr>
        <w:t>；电话：</w:t>
      </w:r>
      <w:r>
        <w:rPr>
          <w:rFonts w:hint="default" w:ascii="Times New Roman" w:hAnsi="Times New Roman" w:eastAsia="方正仿宋_GBK" w:cs="Times New Roman"/>
          <w:sz w:val="31"/>
          <w:szCs w:val="31"/>
        </w:rPr>
        <w:t>0877-6292110</w:t>
      </w:r>
      <w:r>
        <w:rPr>
          <w:rFonts w:hint="eastAsia" w:ascii="方正仿宋_GBK" w:hAnsi="方正仿宋_GBK" w:eastAsia="方正仿宋_GBK" w:cs="方正仿宋_GBK"/>
          <w:sz w:val="31"/>
          <w:szCs w:val="31"/>
        </w:rPr>
        <w:t>；传真：</w:t>
      </w:r>
      <w:r>
        <w:rPr>
          <w:rFonts w:hint="default" w:ascii="Times New Roman" w:hAnsi="Times New Roman" w:eastAsia="方正仿宋_GBK" w:cs="Times New Roman"/>
          <w:sz w:val="31"/>
          <w:szCs w:val="31"/>
        </w:rPr>
        <w:t>0877-6292110</w:t>
      </w:r>
      <w:r>
        <w:rPr>
          <w:rFonts w:hint="eastAsia" w:ascii="方正仿宋_GBK" w:hAnsi="方正仿宋_GBK" w:eastAsia="方正仿宋_GBK" w:cs="方正仿宋_GBK"/>
          <w:sz w:val="31"/>
          <w:szCs w:val="31"/>
        </w:rPr>
        <w:t>；邮箱：</w:t>
      </w:r>
      <w:r>
        <w:rPr>
          <w:rFonts w:hint="default" w:ascii="Times New Roman" w:hAnsi="Times New Roman" w:eastAsia="方正仿宋_GBK" w:cs="Times New Roman"/>
          <w:sz w:val="31"/>
          <w:szCs w:val="31"/>
        </w:rPr>
        <w:t>60750099@163.com)</w:t>
      </w:r>
      <w:r>
        <w:rPr>
          <w:rFonts w:hint="eastAsia" w:ascii="方正仿宋_GBK" w:hAnsi="方正仿宋_GBK" w:eastAsia="方正仿宋_GBK" w:cs="方正仿宋_GBK"/>
          <w:sz w:val="31"/>
          <w:szCs w:val="31"/>
        </w:rPr>
        <w:t>。</w:t>
      </w:r>
    </w:p>
    <w:p>
      <w:pPr>
        <w:pStyle w:val="4"/>
        <w:keepNext w:val="0"/>
        <w:keepLines w:val="0"/>
        <w:widowControl/>
        <w:suppressLineNumbers w:val="0"/>
        <w:spacing w:before="75" w:beforeAutospacing="0" w:after="75" w:afterAutospacing="0" w:line="555" w:lineRule="atLeast"/>
        <w:ind w:left="0" w:right="0"/>
      </w:pPr>
      <w:r>
        <w:rPr>
          <w:rFonts w:hint="eastAsia" w:ascii="方正仿宋_GBK" w:hAnsi="方正仿宋_GBK" w:eastAsia="方正仿宋_GBK" w:cs="方正仿宋_GBK"/>
          <w:sz w:val="31"/>
          <w:szCs w:val="31"/>
        </w:rPr>
        <w:t>    推进政府信息公开是甘庄街道贯彻落实《条例》的重要举措，是深入推行政务公开，转变政府职能，实现管理创新，建设人民满意的服务型政府的一项重要工作。</w:t>
      </w:r>
      <w:r>
        <w:rPr>
          <w:rFonts w:hint="default" w:ascii="Times New Roman" w:hAnsi="Times New Roman" w:eastAsia="方正仿宋_GBK" w:cs="Times New Roman"/>
          <w:sz w:val="31"/>
          <w:szCs w:val="31"/>
        </w:rPr>
        <w:t>2021</w:t>
      </w:r>
      <w:r>
        <w:rPr>
          <w:rFonts w:hint="eastAsia" w:ascii="方正仿宋_GBK" w:hAnsi="方正仿宋_GBK" w:eastAsia="方正仿宋_GBK" w:cs="方正仿宋_GBK"/>
          <w:sz w:val="31"/>
          <w:szCs w:val="31"/>
        </w:rPr>
        <w:t>年，甘庄街道认真执行《条例》规定，高度重视政府信息公开工作，逐步健全完善政府信息公开工作机制，积极稳妥推进，坚持把政府信息公开工作作为加强党风廉政建设、促进依法行政、密切党群和干群关系的重要举措来抓，努力推动政府信息公开工作的普及延伸和纵深发展。</w:t>
      </w:r>
    </w:p>
    <w:p>
      <w:pPr>
        <w:pStyle w:val="4"/>
        <w:keepNext w:val="0"/>
        <w:keepLines w:val="0"/>
        <w:widowControl/>
        <w:suppressLineNumbers w:val="0"/>
        <w:spacing w:before="75" w:beforeAutospacing="0" w:after="75" w:afterAutospacing="0" w:line="555" w:lineRule="atLeast"/>
        <w:ind w:left="0" w:right="0" w:firstLine="645"/>
      </w:pPr>
      <w:r>
        <w:rPr>
          <w:rFonts w:ascii="方正楷体_GBK" w:hAnsi="方正楷体_GBK" w:eastAsia="方正楷体_GBK" w:cs="方正楷体_GBK"/>
          <w:sz w:val="31"/>
          <w:szCs w:val="31"/>
        </w:rPr>
        <w:t>（一）信息公开内容。</w:t>
      </w:r>
      <w:r>
        <w:rPr>
          <w:rFonts w:hint="eastAsia" w:ascii="方正仿宋_GBK" w:hAnsi="方正仿宋_GBK" w:eastAsia="方正仿宋_GBK" w:cs="方正仿宋_GBK"/>
          <w:sz w:val="31"/>
          <w:szCs w:val="31"/>
        </w:rPr>
        <w:t>按照《条例》规定，</w:t>
      </w:r>
      <w:r>
        <w:rPr>
          <w:rFonts w:hint="default" w:ascii="Times New Roman" w:hAnsi="Times New Roman" w:eastAsia="方正仿宋_GBK" w:cs="Times New Roman"/>
          <w:sz w:val="31"/>
          <w:szCs w:val="31"/>
        </w:rPr>
        <w:t>2021</w:t>
      </w:r>
      <w:r>
        <w:rPr>
          <w:rFonts w:hint="eastAsia" w:ascii="方正仿宋_GBK" w:hAnsi="方正仿宋_GBK" w:eastAsia="方正仿宋_GBK" w:cs="方正仿宋_GBK"/>
          <w:sz w:val="31"/>
          <w:szCs w:val="31"/>
        </w:rPr>
        <w:t>年街道主动公开政府信息</w:t>
      </w:r>
      <w:r>
        <w:rPr>
          <w:rFonts w:hint="default" w:ascii="Times New Roman" w:hAnsi="Times New Roman" w:eastAsia="方正仿宋_GBK" w:cs="Times New Roman"/>
          <w:sz w:val="31"/>
          <w:szCs w:val="31"/>
        </w:rPr>
        <w:t>24</w:t>
      </w:r>
      <w:r>
        <w:rPr>
          <w:rFonts w:hint="eastAsia" w:ascii="方正仿宋_GBK" w:hAnsi="方正仿宋_GBK" w:eastAsia="方正仿宋_GBK" w:cs="方正仿宋_GBK"/>
          <w:sz w:val="31"/>
          <w:szCs w:val="31"/>
        </w:rPr>
        <w:t>条，内容涵盖部门文件、部门工作动态、财政预结算等与人民群众生产、生活以及经济社会发展紧密相关的各类信息。</w:t>
      </w:r>
    </w:p>
    <w:p>
      <w:pPr>
        <w:pStyle w:val="4"/>
        <w:keepNext w:val="0"/>
        <w:keepLines w:val="0"/>
        <w:widowControl/>
        <w:suppressLineNumbers w:val="0"/>
        <w:spacing w:before="75" w:beforeAutospacing="0" w:after="75" w:afterAutospacing="0" w:line="555" w:lineRule="atLeast"/>
        <w:ind w:left="0" w:right="0"/>
      </w:pPr>
      <w:r>
        <w:rPr>
          <w:rFonts w:hint="eastAsia" w:ascii="方正楷体_GBK" w:hAnsi="方正楷体_GBK" w:eastAsia="方正楷体_GBK" w:cs="方正楷体_GBK"/>
          <w:sz w:val="31"/>
          <w:szCs w:val="31"/>
        </w:rPr>
        <w:t>    （二）信息公开方式。</w:t>
      </w:r>
      <w:r>
        <w:rPr>
          <w:rFonts w:hint="eastAsia" w:ascii="方正仿宋_GBK" w:hAnsi="方正仿宋_GBK" w:eastAsia="方正仿宋_GBK" w:cs="方正仿宋_GBK"/>
          <w:sz w:val="31"/>
          <w:szCs w:val="31"/>
        </w:rPr>
        <w:t>主动公开的途径：一是网站。建立了政府信息公开资源库，各职能部门年产生的信息按规定应该向社会公开的信息，统一由专人报街道府门户网站的政府信息公开领导小组办公室，实现了科学分类、集中公开，进一步方便社会公众获取。同时，领导小组也安排专人对本公开系统进行维护管理，及时收集、整理各类政府信息，及时上网公开。二是通过街道宣传栏及街道、村（社区）干部微信工作群等多种形式，公布内容包括：计生社会抚养费征收、二孩新政、民政低保对象、民政优抚、五保对象、宅基地审批等人民群众广泛关注的政府信息</w:t>
      </w:r>
    </w:p>
    <w:p>
      <w:pPr>
        <w:pStyle w:val="4"/>
        <w:keepNext w:val="0"/>
        <w:keepLines w:val="0"/>
        <w:widowControl/>
        <w:suppressLineNumbers w:val="0"/>
        <w:spacing w:before="75" w:beforeAutospacing="0" w:after="75" w:afterAutospacing="0" w:line="555" w:lineRule="atLeast"/>
        <w:ind w:left="0" w:right="0"/>
      </w:pPr>
      <w:r>
        <w:rPr>
          <w:rFonts w:hint="eastAsia" w:ascii="方正楷体_GBK" w:hAnsi="方正楷体_GBK" w:eastAsia="方正楷体_GBK" w:cs="方正楷体_GBK"/>
          <w:sz w:val="31"/>
          <w:szCs w:val="31"/>
        </w:rPr>
        <w:t>    （三）依申请公开政府信息情况和不予公开政府信息的情况。</w:t>
      </w:r>
      <w:r>
        <w:rPr>
          <w:rFonts w:hint="eastAsia" w:ascii="方正仿宋_GBK" w:hAnsi="方正仿宋_GBK" w:eastAsia="方正仿宋_GBK" w:cs="方正仿宋_GBK"/>
          <w:sz w:val="31"/>
          <w:szCs w:val="31"/>
        </w:rPr>
        <w:t>全年未发生依申请和处理政府信息，目前尚未发现应主动公开政府信息而未予公开的情况。</w:t>
      </w:r>
    </w:p>
    <w:p>
      <w:pPr>
        <w:pStyle w:val="4"/>
        <w:keepNext w:val="0"/>
        <w:keepLines w:val="0"/>
        <w:widowControl/>
        <w:suppressLineNumbers w:val="0"/>
        <w:spacing w:before="75" w:beforeAutospacing="0" w:after="75" w:afterAutospacing="0" w:line="555" w:lineRule="atLeast"/>
        <w:ind w:left="0" w:right="0" w:firstLine="645"/>
      </w:pPr>
      <w:r>
        <w:rPr>
          <w:rFonts w:hint="eastAsia" w:ascii="方正楷体_GBK" w:hAnsi="方正楷体_GBK" w:eastAsia="方正楷体_GBK" w:cs="方正楷体_GBK"/>
          <w:sz w:val="31"/>
          <w:szCs w:val="31"/>
        </w:rPr>
        <w:t>（四）政府信息公开收费及减免情况。</w:t>
      </w:r>
      <w:r>
        <w:rPr>
          <w:rFonts w:hint="eastAsia" w:ascii="方正仿宋_GBK" w:hAnsi="方正仿宋_GBK" w:eastAsia="方正仿宋_GBK" w:cs="方正仿宋_GBK"/>
          <w:sz w:val="31"/>
          <w:szCs w:val="31"/>
        </w:rPr>
        <w:t> </w:t>
      </w:r>
      <w:r>
        <w:rPr>
          <w:rFonts w:hint="default" w:ascii="Times New Roman" w:hAnsi="Times New Roman" w:eastAsia="方正仿宋_GBK" w:cs="Times New Roman"/>
          <w:sz w:val="31"/>
          <w:szCs w:val="31"/>
        </w:rPr>
        <w:t>2021</w:t>
      </w:r>
      <w:r>
        <w:rPr>
          <w:rFonts w:hint="eastAsia" w:ascii="方正仿宋_GBK" w:hAnsi="方正仿宋_GBK" w:eastAsia="方正仿宋_GBK" w:cs="方正仿宋_GBK"/>
          <w:sz w:val="31"/>
          <w:szCs w:val="31"/>
        </w:rPr>
        <w:t>年甘庄街道没有收取这方面的费用。</w:t>
      </w:r>
    </w:p>
    <w:p>
      <w:pPr>
        <w:pStyle w:val="4"/>
        <w:keepNext w:val="0"/>
        <w:keepLines w:val="0"/>
        <w:widowControl/>
        <w:suppressLineNumbers w:val="0"/>
        <w:spacing w:before="75" w:beforeAutospacing="0" w:after="75" w:afterAutospacing="0" w:line="555" w:lineRule="atLeast"/>
        <w:ind w:left="0" w:right="0" w:firstLine="645"/>
      </w:pPr>
      <w:r>
        <w:rPr>
          <w:rFonts w:hint="eastAsia" w:ascii="方正楷体_GBK" w:hAnsi="方正楷体_GBK" w:eastAsia="方正楷体_GBK" w:cs="方正楷体_GBK"/>
          <w:sz w:val="31"/>
          <w:szCs w:val="31"/>
        </w:rPr>
        <w:t>（五）咨询和投诉情况。 </w:t>
      </w:r>
      <w:r>
        <w:rPr>
          <w:rFonts w:hint="default" w:ascii="Times New Roman" w:hAnsi="Times New Roman" w:eastAsia="方正仿宋_GBK" w:cs="Times New Roman"/>
          <w:sz w:val="31"/>
          <w:szCs w:val="31"/>
        </w:rPr>
        <w:t>2021</w:t>
      </w:r>
      <w:r>
        <w:rPr>
          <w:rFonts w:hint="eastAsia" w:ascii="方正仿宋_GBK" w:hAnsi="方正仿宋_GBK" w:eastAsia="方正仿宋_GBK" w:cs="方正仿宋_GBK"/>
          <w:sz w:val="31"/>
          <w:szCs w:val="31"/>
        </w:rPr>
        <w:t>年甘庄街道没有发生关于政府信息公开咨询和投诉情况。</w:t>
      </w:r>
    </w:p>
    <w:p>
      <w:pPr>
        <w:pStyle w:val="4"/>
        <w:keepNext w:val="0"/>
        <w:keepLines w:val="0"/>
        <w:widowControl/>
        <w:suppressLineNumbers w:val="0"/>
        <w:spacing w:before="75" w:beforeAutospacing="0" w:after="75" w:afterAutospacing="0" w:line="555" w:lineRule="atLeast"/>
        <w:ind w:left="0" w:right="0" w:firstLine="645"/>
      </w:pPr>
      <w:r>
        <w:rPr>
          <w:rFonts w:hint="eastAsia" w:ascii="方正楷体_GBK" w:hAnsi="方正楷体_GBK" w:eastAsia="方正楷体_GBK" w:cs="方正楷体_GBK"/>
          <w:sz w:val="31"/>
          <w:szCs w:val="31"/>
        </w:rPr>
        <w:t>（六）申请行政复议和提起行政诉讼情况。</w:t>
      </w:r>
      <w:r>
        <w:rPr>
          <w:rFonts w:hint="eastAsia" w:ascii="方正仿宋_GBK" w:hAnsi="方正仿宋_GBK" w:eastAsia="方正仿宋_GBK" w:cs="方正仿宋_GBK"/>
          <w:sz w:val="31"/>
          <w:szCs w:val="31"/>
        </w:rPr>
        <w:t>全年未发生因政府信息公开而被申请行政复议、提起行政诉讼的案件。</w:t>
      </w:r>
    </w:p>
    <w:p>
      <w:pPr>
        <w:pStyle w:val="4"/>
        <w:keepNext w:val="0"/>
        <w:keepLines w:val="0"/>
        <w:widowControl/>
        <w:suppressLineNumbers w:val="0"/>
        <w:spacing w:before="75" w:beforeAutospacing="0" w:after="75" w:afterAutospacing="0" w:line="555" w:lineRule="atLeast"/>
        <w:ind w:left="0" w:right="0" w:firstLine="645"/>
      </w:pPr>
      <w:r>
        <w:rPr>
          <w:rFonts w:hint="eastAsia" w:ascii="方正楷体_GBK" w:hAnsi="方正楷体_GBK" w:eastAsia="方正楷体_GBK" w:cs="方正楷体_GBK"/>
          <w:sz w:val="31"/>
          <w:szCs w:val="31"/>
        </w:rPr>
        <w:t>（七）落实市2021年信息公开工作要点方案情况、建议和提案办理结果公开情况。</w:t>
      </w:r>
      <w:r>
        <w:rPr>
          <w:rFonts w:hint="eastAsia" w:ascii="方正仿宋_GBK" w:hAnsi="方正仿宋_GBK" w:eastAsia="方正仿宋_GBK" w:cs="方正仿宋_GBK"/>
          <w:sz w:val="31"/>
          <w:szCs w:val="31"/>
        </w:rPr>
        <w:t>一是积极配合上级政府关于信息公开工作要点的各项工作和落实责任分工。</w:t>
      </w:r>
      <w:r>
        <w:rPr>
          <w:rFonts w:hint="default" w:ascii="Times New Roman" w:hAnsi="Times New Roman" w:eastAsia="方正仿宋_GBK" w:cs="Times New Roman"/>
          <w:sz w:val="31"/>
          <w:szCs w:val="31"/>
        </w:rPr>
        <w:t>2021</w:t>
      </w:r>
      <w:r>
        <w:rPr>
          <w:rFonts w:hint="eastAsia" w:ascii="方正仿宋_GBK" w:hAnsi="方正仿宋_GBK" w:eastAsia="方正仿宋_GBK" w:cs="方正仿宋_GBK"/>
          <w:sz w:val="31"/>
          <w:szCs w:val="31"/>
        </w:rPr>
        <w:t>年，从事政府信息公开工作人员共</w:t>
      </w:r>
      <w:r>
        <w:rPr>
          <w:rFonts w:hint="default" w:ascii="Times New Roman" w:hAnsi="Times New Roman" w:eastAsia="方正仿宋_GBK" w:cs="Times New Roman"/>
          <w:sz w:val="31"/>
          <w:szCs w:val="31"/>
        </w:rPr>
        <w:t>5</w:t>
      </w:r>
      <w:r>
        <w:rPr>
          <w:rFonts w:hint="eastAsia" w:ascii="方正仿宋_GBK" w:hAnsi="方正仿宋_GBK" w:eastAsia="方正仿宋_GBK" w:cs="方正仿宋_GBK"/>
          <w:sz w:val="31"/>
          <w:szCs w:val="31"/>
        </w:rPr>
        <w:t>人，</w:t>
      </w: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人专职，各职能部门人员配合完成，明确了责任，确保了政府信息公开工作的顺利开展。二是</w:t>
      </w:r>
      <w:r>
        <w:rPr>
          <w:rFonts w:hint="default" w:ascii="Times New Roman" w:hAnsi="Times New Roman" w:eastAsia="方正仿宋_GBK" w:cs="Times New Roman"/>
          <w:sz w:val="31"/>
          <w:szCs w:val="31"/>
        </w:rPr>
        <w:t>2021</w:t>
      </w:r>
      <w:r>
        <w:rPr>
          <w:rFonts w:hint="eastAsia" w:ascii="方正仿宋_GBK" w:hAnsi="方正仿宋_GBK" w:eastAsia="方正仿宋_GBK" w:cs="方正仿宋_GBK"/>
          <w:sz w:val="31"/>
          <w:szCs w:val="31"/>
        </w:rPr>
        <w:t>年度街道无信息公开工作的建议和提案。</w:t>
      </w:r>
    </w:p>
    <w:p>
      <w:pPr>
        <w:pStyle w:val="4"/>
        <w:keepNext w:val="0"/>
        <w:keepLines w:val="0"/>
        <w:widowControl/>
        <w:suppressLineNumbers w:val="0"/>
        <w:spacing w:before="75" w:beforeAutospacing="0" w:after="75" w:afterAutospacing="0" w:line="585" w:lineRule="atLeast"/>
        <w:ind w:left="0" w:right="0" w:firstLine="315"/>
      </w:pPr>
      <w:r>
        <w:rPr>
          <w:rFonts w:hint="eastAsia" w:ascii="方正黑体_GBK" w:hAnsi="方正黑体_GBK" w:eastAsia="方正黑体_GBK" w:cs="方正黑体_GBK"/>
          <w:sz w:val="31"/>
          <w:szCs w:val="31"/>
        </w:rPr>
        <w:t>二、主动公开政府信息情况</w:t>
      </w:r>
    </w:p>
    <w:p>
      <w:pPr>
        <w:pStyle w:val="4"/>
        <w:keepNext w:val="0"/>
        <w:keepLines w:val="0"/>
        <w:widowControl/>
        <w:suppressLineNumbers w:val="0"/>
        <w:spacing w:before="75" w:beforeAutospacing="0" w:after="75" w:afterAutospacing="0" w:line="585" w:lineRule="atLeast"/>
        <w:ind w:left="0" w:right="0" w:firstLine="0"/>
      </w:pPr>
    </w:p>
    <w:tbl>
      <w:tblPr>
        <w:tblStyle w:val="5"/>
        <w:tblW w:w="97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430"/>
        <w:gridCol w:w="2430"/>
        <w:gridCol w:w="2430"/>
        <w:gridCol w:w="2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9735" w:type="dxa"/>
            <w:gridSpan w:val="4"/>
            <w:tcBorders>
              <w:top w:val="single" w:color="auto" w:sz="6" w:space="0"/>
              <w:left w:val="single" w:color="auto" w:sz="6" w:space="0"/>
              <w:bottom w:val="single" w:color="auto" w:sz="6" w:space="0"/>
              <w:right w:val="single" w:color="auto" w:sz="6" w:space="0"/>
            </w:tcBorders>
            <w:shd w:val="clear" w:color="auto" w:fill="C6D9F1"/>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pacing w:val="0"/>
                <w:sz w:val="19"/>
                <w:szCs w:val="19"/>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24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pacing w:val="0"/>
                <w:sz w:val="19"/>
                <w:szCs w:val="19"/>
              </w:rPr>
              <w:t>信息内容</w:t>
            </w:r>
          </w:p>
        </w:tc>
        <w:tc>
          <w:tcPr>
            <w:tcW w:w="24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pacing w:val="0"/>
                <w:sz w:val="19"/>
                <w:szCs w:val="19"/>
              </w:rPr>
              <w:t>本年制发件数</w:t>
            </w:r>
          </w:p>
        </w:tc>
        <w:tc>
          <w:tcPr>
            <w:tcW w:w="24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pacing w:val="0"/>
                <w:sz w:val="19"/>
                <w:szCs w:val="19"/>
              </w:rPr>
              <w:t>本年废止件数</w:t>
            </w:r>
          </w:p>
        </w:tc>
        <w:tc>
          <w:tcPr>
            <w:tcW w:w="24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pacing w:val="0"/>
                <w:sz w:val="19"/>
                <w:szCs w:val="19"/>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24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pacing w:val="0"/>
                <w:sz w:val="19"/>
                <w:szCs w:val="19"/>
              </w:rPr>
              <w:t>规章</w:t>
            </w:r>
          </w:p>
        </w:tc>
        <w:tc>
          <w:tcPr>
            <w:tcW w:w="24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pacing w:val="0"/>
                <w:sz w:val="19"/>
                <w:szCs w:val="19"/>
              </w:rPr>
              <w:t>　　      0</w:t>
            </w:r>
          </w:p>
        </w:tc>
        <w:tc>
          <w:tcPr>
            <w:tcW w:w="24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pacing w:val="0"/>
                <w:sz w:val="19"/>
                <w:szCs w:val="19"/>
              </w:rPr>
              <w:t> 　      0</w:t>
            </w:r>
          </w:p>
        </w:tc>
        <w:tc>
          <w:tcPr>
            <w:tcW w:w="24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Calibri" w:hAnsi="Calibri" w:cs="Calibri"/>
                <w:spacing w:val="0"/>
                <w:sz w:val="21"/>
                <w:szCs w:val="21"/>
              </w:rPr>
              <w:t> </w:t>
            </w:r>
            <w:r>
              <w:rPr>
                <w:rFonts w:hint="default" w:ascii="Calibri" w:hAnsi="Calibri" w:cs="Calibri"/>
                <w:spacing w:val="0"/>
                <w:sz w:val="21"/>
                <w:szCs w:val="21"/>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24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pacing w:val="0"/>
                <w:sz w:val="19"/>
                <w:szCs w:val="19"/>
              </w:rPr>
              <w:t>行政规范性文件</w:t>
            </w:r>
          </w:p>
        </w:tc>
        <w:tc>
          <w:tcPr>
            <w:tcW w:w="24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pacing w:val="0"/>
                <w:sz w:val="19"/>
                <w:szCs w:val="19"/>
              </w:rPr>
              <w:t>　　      0</w:t>
            </w:r>
          </w:p>
        </w:tc>
        <w:tc>
          <w:tcPr>
            <w:tcW w:w="24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pacing w:val="0"/>
                <w:sz w:val="19"/>
                <w:szCs w:val="19"/>
              </w:rPr>
              <w:t>         0　</w:t>
            </w:r>
          </w:p>
        </w:tc>
        <w:tc>
          <w:tcPr>
            <w:tcW w:w="24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pacing w:val="0"/>
                <w:sz w:val="21"/>
                <w:szCs w:val="21"/>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9735" w:type="dxa"/>
            <w:gridSpan w:val="4"/>
            <w:tcBorders>
              <w:top w:val="single" w:color="auto" w:sz="6" w:space="0"/>
              <w:left w:val="single" w:color="auto" w:sz="6" w:space="0"/>
              <w:bottom w:val="single" w:color="auto" w:sz="6" w:space="0"/>
              <w:right w:val="single" w:color="auto" w:sz="6" w:space="0"/>
            </w:tcBorders>
            <w:shd w:val="clear" w:color="auto" w:fill="C6D9F1"/>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pacing w:val="0"/>
                <w:sz w:val="19"/>
                <w:szCs w:val="19"/>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24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pacing w:val="0"/>
                <w:sz w:val="19"/>
                <w:szCs w:val="19"/>
              </w:rPr>
              <w:t>信息内容</w:t>
            </w:r>
          </w:p>
        </w:tc>
        <w:tc>
          <w:tcPr>
            <w:tcW w:w="7305"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pacing w:val="0"/>
                <w:sz w:val="19"/>
                <w:szCs w:val="19"/>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24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pacing w:val="0"/>
                <w:sz w:val="19"/>
                <w:szCs w:val="19"/>
              </w:rPr>
              <w:t>行政许可</w:t>
            </w:r>
          </w:p>
        </w:tc>
        <w:tc>
          <w:tcPr>
            <w:tcW w:w="7305"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cs="Calibri"/>
                <w:spacing w:val="0"/>
                <w:sz w:val="21"/>
                <w:szCs w:val="21"/>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9735" w:type="dxa"/>
            <w:gridSpan w:val="4"/>
            <w:tcBorders>
              <w:top w:val="single" w:color="auto" w:sz="6" w:space="0"/>
              <w:left w:val="single" w:color="auto" w:sz="6" w:space="0"/>
              <w:bottom w:val="single" w:color="auto" w:sz="6" w:space="0"/>
              <w:right w:val="single" w:color="auto" w:sz="6" w:space="0"/>
            </w:tcBorders>
            <w:shd w:val="clear" w:color="auto" w:fill="C6D9F1"/>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pacing w:val="0"/>
                <w:sz w:val="19"/>
                <w:szCs w:val="19"/>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24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pacing w:val="0"/>
                <w:sz w:val="19"/>
                <w:szCs w:val="19"/>
              </w:rPr>
              <w:t>信息内容</w:t>
            </w:r>
          </w:p>
        </w:tc>
        <w:tc>
          <w:tcPr>
            <w:tcW w:w="7305"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pacing w:val="0"/>
                <w:sz w:val="19"/>
                <w:szCs w:val="19"/>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24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pacing w:val="0"/>
                <w:sz w:val="19"/>
                <w:szCs w:val="19"/>
              </w:rPr>
              <w:t>行政处罚</w:t>
            </w:r>
          </w:p>
        </w:tc>
        <w:tc>
          <w:tcPr>
            <w:tcW w:w="7305"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pacing w:val="0"/>
                <w:sz w:val="19"/>
                <w:szCs w:val="19"/>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24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pacing w:val="0"/>
                <w:sz w:val="19"/>
                <w:szCs w:val="19"/>
              </w:rPr>
              <w:t>行政强制</w:t>
            </w:r>
          </w:p>
        </w:tc>
        <w:tc>
          <w:tcPr>
            <w:tcW w:w="7305"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pacing w:val="0"/>
                <w:sz w:val="19"/>
                <w:szCs w:val="19"/>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9735" w:type="dxa"/>
            <w:gridSpan w:val="4"/>
            <w:tcBorders>
              <w:top w:val="single" w:color="auto" w:sz="6" w:space="0"/>
              <w:left w:val="single" w:color="auto" w:sz="6" w:space="0"/>
              <w:bottom w:val="single" w:color="auto" w:sz="6" w:space="0"/>
              <w:right w:val="single" w:color="auto" w:sz="6" w:space="0"/>
            </w:tcBorders>
            <w:shd w:val="clear" w:color="auto" w:fill="C6D9F1"/>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pacing w:val="0"/>
                <w:sz w:val="19"/>
                <w:szCs w:val="19"/>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24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pacing w:val="0"/>
                <w:sz w:val="19"/>
                <w:szCs w:val="19"/>
              </w:rPr>
              <w:t>信息内容</w:t>
            </w:r>
          </w:p>
        </w:tc>
        <w:tc>
          <w:tcPr>
            <w:tcW w:w="7305" w:type="dxa"/>
            <w:gridSpan w:val="3"/>
            <w:tcBorders>
              <w:top w:val="single" w:color="auto" w:sz="6" w:space="0"/>
              <w:left w:val="single" w:color="auto" w:sz="6" w:space="0"/>
              <w:bottom w:val="single" w:color="auto" w:sz="6" w:space="0"/>
              <w:right w:val="single" w:color="000000"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pacing w:val="0"/>
                <w:sz w:val="19"/>
                <w:szCs w:val="19"/>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24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pacing w:val="0"/>
                <w:sz w:val="19"/>
                <w:szCs w:val="19"/>
              </w:rPr>
              <w:t>行政事业性收费</w:t>
            </w:r>
          </w:p>
        </w:tc>
        <w:tc>
          <w:tcPr>
            <w:tcW w:w="7305" w:type="dxa"/>
            <w:gridSpan w:val="3"/>
            <w:tcBorders>
              <w:top w:val="single" w:color="auto" w:sz="6" w:space="0"/>
              <w:left w:val="single" w:color="auto" w:sz="6" w:space="0"/>
              <w:bottom w:val="single" w:color="auto" w:sz="6" w:space="0"/>
              <w:right w:val="single" w:color="000000" w:sz="6" w:space="0"/>
            </w:tcBorders>
            <w:shd w:val="clear" w:color="auto" w:fill="auto"/>
            <w:tcMar>
              <w:top w:w="0" w:type="dxa"/>
              <w:left w:w="60" w:type="dxa"/>
              <w:bottom w:w="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pacing w:val="0"/>
                <w:sz w:val="24"/>
                <w:szCs w:val="24"/>
              </w:rPr>
              <w:t>                          0</w:t>
            </w:r>
          </w:p>
        </w:tc>
      </w:tr>
    </w:tbl>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31"/>
          <w:szCs w:val="31"/>
        </w:rPr>
        <w:t> </w:t>
      </w:r>
    </w:p>
    <w:p>
      <w:pPr>
        <w:pStyle w:val="4"/>
        <w:keepNext w:val="0"/>
        <w:keepLines w:val="0"/>
        <w:widowControl/>
        <w:suppressLineNumbers w:val="0"/>
        <w:spacing w:before="75" w:beforeAutospacing="0" w:after="75" w:afterAutospacing="0" w:line="585" w:lineRule="atLeast"/>
        <w:ind w:left="0" w:right="0" w:firstLine="315"/>
        <w:jc w:val="center"/>
      </w:pPr>
      <w:r>
        <w:rPr>
          <w:rFonts w:hint="eastAsia" w:ascii="方正黑体_GBK" w:hAnsi="方正黑体_GBK" w:eastAsia="方正黑体_GBK" w:cs="方正黑体_GBK"/>
          <w:sz w:val="31"/>
          <w:szCs w:val="31"/>
        </w:rPr>
        <w:t> </w:t>
      </w:r>
    </w:p>
    <w:p>
      <w:pPr>
        <w:pStyle w:val="4"/>
        <w:keepNext w:val="0"/>
        <w:keepLines w:val="0"/>
        <w:widowControl/>
        <w:suppressLineNumbers w:val="0"/>
        <w:spacing w:before="75" w:beforeAutospacing="0" w:after="75" w:afterAutospacing="0" w:line="585" w:lineRule="atLeast"/>
        <w:ind w:left="0" w:right="0" w:firstLine="315"/>
      </w:pPr>
      <w:r>
        <w:rPr>
          <w:rFonts w:hint="eastAsia" w:ascii="方正黑体_GBK" w:hAnsi="方正黑体_GBK" w:eastAsia="方正黑体_GBK" w:cs="方正黑体_GBK"/>
          <w:spacing w:val="0"/>
          <w:sz w:val="31"/>
          <w:szCs w:val="31"/>
        </w:rPr>
        <w:t>三、收到和处理政府信息公开申请情况</w:t>
      </w:r>
    </w:p>
    <w:tbl>
      <w:tblPr>
        <w:tblStyle w:val="5"/>
        <w:tblW w:w="90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90"/>
        <w:gridCol w:w="855"/>
        <w:gridCol w:w="2325"/>
        <w:gridCol w:w="630"/>
        <w:gridCol w:w="765"/>
        <w:gridCol w:w="765"/>
        <w:gridCol w:w="825"/>
        <w:gridCol w:w="990"/>
        <w:gridCol w:w="720"/>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675" w:type="dxa"/>
            <w:gridSpan w:val="3"/>
            <w:vMerge w:val="restart"/>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ind w:left="0" w:right="0"/>
              <w:jc w:val="center"/>
            </w:pPr>
            <w:r>
              <w:rPr>
                <w:rFonts w:hint="eastAsia" w:ascii="宋体" w:hAnsi="宋体" w:eastAsia="宋体" w:cs="宋体"/>
                <w:sz w:val="19"/>
                <w:szCs w:val="19"/>
              </w:rPr>
              <w:t>（本列数据的勾稽关系为：第一项加第二项之和，等于第三项加第四项之和）</w:t>
            </w:r>
          </w:p>
        </w:tc>
        <w:tc>
          <w:tcPr>
            <w:tcW w:w="5400" w:type="dxa"/>
            <w:gridSpan w:val="7"/>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sz w:val="19"/>
                <w:szCs w:val="19"/>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675" w:type="dxa"/>
            <w:gridSpan w:val="3"/>
            <w:vMerge w:val="continue"/>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rPr>
                <w:rFonts w:hint="eastAsia" w:ascii="宋体"/>
                <w:sz w:val="24"/>
                <w:szCs w:val="24"/>
              </w:rPr>
            </w:pPr>
          </w:p>
        </w:tc>
        <w:tc>
          <w:tcPr>
            <w:tcW w:w="630" w:type="dxa"/>
            <w:vMerge w:val="restart"/>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sz w:val="19"/>
                <w:szCs w:val="19"/>
              </w:rPr>
              <w:t>自然人</w:t>
            </w:r>
          </w:p>
        </w:tc>
        <w:tc>
          <w:tcPr>
            <w:tcW w:w="4065" w:type="dxa"/>
            <w:gridSpan w:val="5"/>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sz w:val="19"/>
                <w:szCs w:val="19"/>
              </w:rPr>
              <w:t>法人或其他组织</w:t>
            </w:r>
          </w:p>
        </w:tc>
        <w:tc>
          <w:tcPr>
            <w:tcW w:w="705" w:type="dxa"/>
            <w:vMerge w:val="restart"/>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sz w:val="19"/>
                <w:szCs w:val="19"/>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675" w:type="dxa"/>
            <w:gridSpan w:val="3"/>
            <w:vMerge w:val="continue"/>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rPr>
                <w:rFonts w:hint="eastAsia" w:ascii="宋体"/>
                <w:sz w:val="24"/>
                <w:szCs w:val="24"/>
              </w:rPr>
            </w:pPr>
          </w:p>
        </w:tc>
        <w:tc>
          <w:tcPr>
            <w:tcW w:w="630" w:type="dxa"/>
            <w:vMerge w:val="continue"/>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rPr>
                <w:rFonts w:hint="eastAsia" w:ascii="宋体"/>
                <w:sz w:val="24"/>
                <w:szCs w:val="24"/>
              </w:rPr>
            </w:pPr>
          </w:p>
        </w:tc>
        <w:tc>
          <w:tcPr>
            <w:tcW w:w="76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sz w:val="19"/>
                <w:szCs w:val="19"/>
              </w:rPr>
              <w:t>商业企业</w:t>
            </w:r>
          </w:p>
        </w:tc>
        <w:tc>
          <w:tcPr>
            <w:tcW w:w="76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sz w:val="19"/>
                <w:szCs w:val="19"/>
              </w:rPr>
              <w:t>科研机构</w:t>
            </w:r>
          </w:p>
        </w:tc>
        <w:tc>
          <w:tcPr>
            <w:tcW w:w="82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sz w:val="19"/>
                <w:szCs w:val="19"/>
              </w:rPr>
              <w:t>社会公益组织</w:t>
            </w:r>
          </w:p>
        </w:tc>
        <w:tc>
          <w:tcPr>
            <w:tcW w:w="99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sz w:val="19"/>
                <w:szCs w:val="19"/>
              </w:rPr>
              <w:t>法律服务机构</w:t>
            </w:r>
          </w:p>
        </w:tc>
        <w:tc>
          <w:tcPr>
            <w:tcW w:w="72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sz w:val="19"/>
                <w:szCs w:val="19"/>
              </w:rPr>
              <w:t>其他</w:t>
            </w:r>
          </w:p>
        </w:tc>
        <w:tc>
          <w:tcPr>
            <w:tcW w:w="705" w:type="dxa"/>
            <w:vMerge w:val="continue"/>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5" w:hRule="atLeast"/>
        </w:trPr>
        <w:tc>
          <w:tcPr>
            <w:tcW w:w="3675" w:type="dxa"/>
            <w:gridSpan w:val="3"/>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eastAsia" w:ascii="宋体" w:hAnsi="宋体" w:eastAsia="宋体" w:cs="宋体"/>
                <w:sz w:val="19"/>
                <w:szCs w:val="19"/>
              </w:rPr>
              <w:t>一、本年新收政府信息公开申请数量</w:t>
            </w:r>
          </w:p>
        </w:tc>
        <w:tc>
          <w:tcPr>
            <w:tcW w:w="63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6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6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82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99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2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0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Times New Roman" w:hAnsi="Times New Roman" w:eastAsia="宋体" w:cs="Times New Roman"/>
                <w:sz w:val="19"/>
                <w:szCs w:val="19"/>
              </w:rPr>
              <w:t>0</w:t>
            </w:r>
            <w:r>
              <w:rPr>
                <w:rFonts w:hint="default" w:ascii="Times New Roman" w:hAnsi="Times New Roman" w:cs="Times New Roman"/>
                <w:sz w:val="19"/>
                <w:szCs w:val="1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5" w:hRule="atLeast"/>
        </w:trPr>
        <w:tc>
          <w:tcPr>
            <w:tcW w:w="3675" w:type="dxa"/>
            <w:gridSpan w:val="3"/>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eastAsia" w:ascii="宋体" w:hAnsi="宋体" w:eastAsia="宋体" w:cs="宋体"/>
                <w:sz w:val="19"/>
                <w:szCs w:val="19"/>
              </w:rPr>
              <w:t>二、上年结转政府信息公开申请数量</w:t>
            </w:r>
          </w:p>
        </w:tc>
        <w:tc>
          <w:tcPr>
            <w:tcW w:w="63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6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6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82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99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2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0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Times New Roman" w:hAnsi="Times New Roman" w:cs="Times New Roman"/>
                <w:sz w:val="19"/>
                <w:szCs w:val="19"/>
              </w:rPr>
              <w:t> </w:t>
            </w:r>
            <w:r>
              <w:rPr>
                <w:rFonts w:hint="default" w:ascii="Times New Roman" w:hAnsi="Times New Roman" w:eastAsia="宋体" w:cs="Times New Roman"/>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95" w:type="dxa"/>
            <w:vMerge w:val="restart"/>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sz w:val="19"/>
                <w:szCs w:val="19"/>
              </w:rPr>
              <w:t>三、本年度办理结果</w:t>
            </w:r>
          </w:p>
        </w:tc>
        <w:tc>
          <w:tcPr>
            <w:tcW w:w="3180" w:type="dxa"/>
            <w:gridSpan w:val="2"/>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ascii="楷体" w:hAnsi="楷体" w:eastAsia="楷体" w:cs="楷体"/>
                <w:sz w:val="19"/>
                <w:szCs w:val="19"/>
              </w:rPr>
              <w:t>（一）予以公开</w:t>
            </w:r>
          </w:p>
        </w:tc>
        <w:tc>
          <w:tcPr>
            <w:tcW w:w="63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6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6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82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99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2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0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Times New Roman" w:hAnsi="Times New Roman" w:eastAsia="宋体" w:cs="Times New Roman"/>
                <w:sz w:val="19"/>
                <w:szCs w:val="19"/>
              </w:rPr>
              <w:t>0</w:t>
            </w:r>
            <w:r>
              <w:rPr>
                <w:rFonts w:hint="default" w:ascii="Times New Roman" w:hAnsi="Times New Roman" w:cs="Times New Roman"/>
                <w:sz w:val="19"/>
                <w:szCs w:val="19"/>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95" w:type="dxa"/>
            <w:vMerge w:val="continue"/>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rPr>
                <w:rFonts w:hint="eastAsia" w:ascii="宋体"/>
                <w:sz w:val="24"/>
                <w:szCs w:val="24"/>
              </w:rPr>
            </w:pPr>
          </w:p>
        </w:tc>
        <w:tc>
          <w:tcPr>
            <w:tcW w:w="3180" w:type="dxa"/>
            <w:gridSpan w:val="2"/>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eastAsia" w:ascii="楷体" w:hAnsi="楷体" w:eastAsia="楷体" w:cs="楷体"/>
                <w:sz w:val="19"/>
                <w:szCs w:val="19"/>
              </w:rPr>
              <w:t>（二）部分公开（区分处理的，只计这一情形，不计其他情形）</w:t>
            </w:r>
          </w:p>
        </w:tc>
        <w:tc>
          <w:tcPr>
            <w:tcW w:w="63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6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6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82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99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2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0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Times New Roman" w:hAnsi="Times New Roman" w:cs="Times New Roman"/>
                <w:sz w:val="19"/>
                <w:szCs w:val="19"/>
              </w:rPr>
              <w:t> </w:t>
            </w:r>
            <w:r>
              <w:rPr>
                <w:rFonts w:hint="default" w:ascii="Times New Roman" w:hAnsi="Times New Roman" w:eastAsia="宋体" w:cs="Times New Roman"/>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95" w:type="dxa"/>
            <w:vMerge w:val="continue"/>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rPr>
                <w:rFonts w:hint="eastAsia" w:ascii="宋体"/>
                <w:sz w:val="24"/>
                <w:szCs w:val="24"/>
              </w:rPr>
            </w:pPr>
          </w:p>
        </w:tc>
        <w:tc>
          <w:tcPr>
            <w:tcW w:w="855" w:type="dxa"/>
            <w:vMerge w:val="restart"/>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eastAsia" w:ascii="楷体" w:hAnsi="楷体" w:eastAsia="楷体" w:cs="楷体"/>
                <w:sz w:val="19"/>
                <w:szCs w:val="19"/>
              </w:rPr>
              <w:t>（三）不予公开</w:t>
            </w:r>
          </w:p>
        </w:tc>
        <w:tc>
          <w:tcPr>
            <w:tcW w:w="232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eastAsia" w:ascii="楷体" w:hAnsi="楷体" w:eastAsia="楷体" w:cs="楷体"/>
                <w:sz w:val="19"/>
                <w:szCs w:val="19"/>
              </w:rPr>
              <w:t>1.属于国家秘密</w:t>
            </w:r>
          </w:p>
        </w:tc>
        <w:tc>
          <w:tcPr>
            <w:tcW w:w="63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6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6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82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99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2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0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Times New Roman" w:hAnsi="Times New Roman" w:cs="Times New Roman"/>
                <w:sz w:val="19"/>
                <w:szCs w:val="19"/>
              </w:rPr>
              <w:t> </w:t>
            </w:r>
            <w:r>
              <w:rPr>
                <w:rFonts w:hint="default" w:ascii="Times New Roman" w:hAnsi="Times New Roman" w:eastAsia="宋体" w:cs="Times New Roman"/>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95" w:type="dxa"/>
            <w:vMerge w:val="continue"/>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rPr>
                <w:rFonts w:hint="eastAsia" w:ascii="宋体"/>
                <w:sz w:val="24"/>
                <w:szCs w:val="24"/>
              </w:rPr>
            </w:pPr>
          </w:p>
        </w:tc>
        <w:tc>
          <w:tcPr>
            <w:tcW w:w="232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eastAsia" w:ascii="楷体" w:hAnsi="楷体" w:eastAsia="楷体" w:cs="楷体"/>
                <w:sz w:val="19"/>
                <w:szCs w:val="19"/>
              </w:rPr>
              <w:t>2.其他法律行政法规禁止公开</w:t>
            </w:r>
          </w:p>
        </w:tc>
        <w:tc>
          <w:tcPr>
            <w:tcW w:w="63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6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6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82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99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2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0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sz w:val="19"/>
                <w:szCs w:val="19"/>
              </w:rPr>
              <w:t> </w:t>
            </w:r>
            <w:r>
              <w:rPr>
                <w:rFonts w:hint="default" w:ascii="Times New Roman" w:hAnsi="Times New Roman" w:eastAsia="宋体" w:cs="Times New Roman"/>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95" w:type="dxa"/>
            <w:vMerge w:val="continue"/>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rPr>
                <w:rFonts w:hint="eastAsia" w:ascii="宋体"/>
                <w:sz w:val="24"/>
                <w:szCs w:val="24"/>
              </w:rPr>
            </w:pPr>
          </w:p>
        </w:tc>
        <w:tc>
          <w:tcPr>
            <w:tcW w:w="232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eastAsia" w:ascii="楷体" w:hAnsi="楷体" w:eastAsia="楷体" w:cs="楷体"/>
                <w:sz w:val="19"/>
                <w:szCs w:val="19"/>
              </w:rPr>
              <w:t>3.危及“三安全一稳定”</w:t>
            </w:r>
          </w:p>
        </w:tc>
        <w:tc>
          <w:tcPr>
            <w:tcW w:w="63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6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6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82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99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2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0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sz w:val="19"/>
                <w:szCs w:val="19"/>
              </w:rPr>
              <w:t> </w:t>
            </w:r>
            <w:r>
              <w:rPr>
                <w:rFonts w:hint="default" w:ascii="Times New Roman" w:hAnsi="Times New Roman" w:eastAsia="宋体" w:cs="Times New Roman"/>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95" w:type="dxa"/>
            <w:vMerge w:val="continue"/>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rPr>
                <w:rFonts w:hint="eastAsia" w:ascii="宋体"/>
                <w:sz w:val="24"/>
                <w:szCs w:val="24"/>
              </w:rPr>
            </w:pPr>
          </w:p>
        </w:tc>
        <w:tc>
          <w:tcPr>
            <w:tcW w:w="232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eastAsia" w:ascii="楷体" w:hAnsi="楷体" w:eastAsia="楷体" w:cs="楷体"/>
                <w:sz w:val="19"/>
                <w:szCs w:val="19"/>
              </w:rPr>
              <w:t>4.保护第三方合法权益</w:t>
            </w:r>
          </w:p>
        </w:tc>
        <w:tc>
          <w:tcPr>
            <w:tcW w:w="63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6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6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82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99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2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0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sz w:val="19"/>
                <w:szCs w:val="19"/>
              </w:rPr>
              <w:t> </w:t>
            </w:r>
            <w:r>
              <w:rPr>
                <w:rFonts w:hint="default" w:ascii="Times New Roman" w:hAnsi="Times New Roman" w:eastAsia="宋体" w:cs="Times New Roman"/>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95" w:type="dxa"/>
            <w:vMerge w:val="continue"/>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rPr>
                <w:rFonts w:hint="eastAsia" w:ascii="宋体"/>
                <w:sz w:val="24"/>
                <w:szCs w:val="24"/>
              </w:rPr>
            </w:pPr>
          </w:p>
        </w:tc>
        <w:tc>
          <w:tcPr>
            <w:tcW w:w="232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eastAsia" w:ascii="楷体" w:hAnsi="楷体" w:eastAsia="楷体" w:cs="楷体"/>
                <w:sz w:val="19"/>
                <w:szCs w:val="19"/>
              </w:rPr>
              <w:t>5.属于三类内部事务信息</w:t>
            </w:r>
          </w:p>
        </w:tc>
        <w:tc>
          <w:tcPr>
            <w:tcW w:w="63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6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6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82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99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2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0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sz w:val="19"/>
                <w:szCs w:val="19"/>
              </w:rPr>
              <w:t> </w:t>
            </w:r>
            <w:r>
              <w:rPr>
                <w:rFonts w:hint="default" w:ascii="Times New Roman" w:hAnsi="Times New Roman" w:eastAsia="宋体" w:cs="Times New Roman"/>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95" w:type="dxa"/>
            <w:vMerge w:val="continue"/>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rPr>
                <w:rFonts w:hint="eastAsia" w:ascii="宋体"/>
                <w:sz w:val="24"/>
                <w:szCs w:val="24"/>
              </w:rPr>
            </w:pPr>
          </w:p>
        </w:tc>
        <w:tc>
          <w:tcPr>
            <w:tcW w:w="232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eastAsia" w:ascii="楷体" w:hAnsi="楷体" w:eastAsia="楷体" w:cs="楷体"/>
                <w:sz w:val="19"/>
                <w:szCs w:val="19"/>
              </w:rPr>
              <w:t>6.属于四类过程性信息</w:t>
            </w:r>
          </w:p>
        </w:tc>
        <w:tc>
          <w:tcPr>
            <w:tcW w:w="63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6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6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82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99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2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0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sz w:val="19"/>
                <w:szCs w:val="19"/>
              </w:rPr>
              <w:t> </w:t>
            </w:r>
            <w:r>
              <w:rPr>
                <w:rFonts w:hint="default" w:ascii="Times New Roman" w:hAnsi="Times New Roman" w:eastAsia="宋体" w:cs="Times New Roman"/>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95" w:type="dxa"/>
            <w:vMerge w:val="continue"/>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rPr>
                <w:rFonts w:hint="eastAsia" w:ascii="宋体"/>
                <w:sz w:val="24"/>
                <w:szCs w:val="24"/>
              </w:rPr>
            </w:pPr>
          </w:p>
        </w:tc>
        <w:tc>
          <w:tcPr>
            <w:tcW w:w="232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eastAsia" w:ascii="楷体" w:hAnsi="楷体" w:eastAsia="楷体" w:cs="楷体"/>
                <w:sz w:val="19"/>
                <w:szCs w:val="19"/>
              </w:rPr>
              <w:t>7.属于行政执法案卷</w:t>
            </w:r>
          </w:p>
        </w:tc>
        <w:tc>
          <w:tcPr>
            <w:tcW w:w="63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6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6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82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99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2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0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sz w:val="19"/>
                <w:szCs w:val="19"/>
              </w:rPr>
              <w:t> </w:t>
            </w:r>
            <w:r>
              <w:rPr>
                <w:rFonts w:hint="default" w:ascii="Times New Roman" w:hAnsi="Times New Roman" w:eastAsia="宋体" w:cs="Times New Roman"/>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95" w:type="dxa"/>
            <w:vMerge w:val="continue"/>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rPr>
                <w:rFonts w:hint="eastAsia" w:ascii="宋体"/>
                <w:sz w:val="24"/>
                <w:szCs w:val="24"/>
              </w:rPr>
            </w:pPr>
          </w:p>
        </w:tc>
        <w:tc>
          <w:tcPr>
            <w:tcW w:w="232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eastAsia" w:ascii="楷体" w:hAnsi="楷体" w:eastAsia="楷体" w:cs="楷体"/>
                <w:sz w:val="19"/>
                <w:szCs w:val="19"/>
              </w:rPr>
              <w:t>8.属于行政查询事项</w:t>
            </w:r>
          </w:p>
        </w:tc>
        <w:tc>
          <w:tcPr>
            <w:tcW w:w="63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6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6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82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99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2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0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sz w:val="19"/>
                <w:szCs w:val="19"/>
              </w:rPr>
              <w:t> </w:t>
            </w:r>
            <w:r>
              <w:rPr>
                <w:rFonts w:hint="default" w:ascii="Times New Roman" w:hAnsi="Times New Roman" w:eastAsia="宋体" w:cs="Times New Roman"/>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95" w:type="dxa"/>
            <w:vMerge w:val="continue"/>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rPr>
                <w:rFonts w:hint="eastAsia" w:ascii="宋体"/>
                <w:sz w:val="24"/>
                <w:szCs w:val="24"/>
              </w:rPr>
            </w:pPr>
          </w:p>
        </w:tc>
        <w:tc>
          <w:tcPr>
            <w:tcW w:w="855" w:type="dxa"/>
            <w:vMerge w:val="restart"/>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eastAsia" w:ascii="楷体" w:hAnsi="楷体" w:eastAsia="楷体" w:cs="楷体"/>
                <w:sz w:val="19"/>
                <w:szCs w:val="19"/>
              </w:rPr>
              <w:t>（四）无法提供</w:t>
            </w:r>
          </w:p>
        </w:tc>
        <w:tc>
          <w:tcPr>
            <w:tcW w:w="232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eastAsia" w:ascii="楷体" w:hAnsi="楷体" w:eastAsia="楷体" w:cs="楷体"/>
                <w:sz w:val="19"/>
                <w:szCs w:val="19"/>
              </w:rPr>
              <w:t>1.本机关不掌握相关政府信息</w:t>
            </w:r>
          </w:p>
        </w:tc>
        <w:tc>
          <w:tcPr>
            <w:tcW w:w="63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6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6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82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99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2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0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sz w:val="19"/>
                <w:szCs w:val="19"/>
              </w:rPr>
              <w:t> </w:t>
            </w:r>
            <w:r>
              <w:rPr>
                <w:rFonts w:hint="default" w:ascii="Times New Roman" w:hAnsi="Times New Roman" w:eastAsia="宋体" w:cs="Times New Roman"/>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95" w:type="dxa"/>
            <w:vMerge w:val="continue"/>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rPr>
                <w:rFonts w:hint="eastAsia" w:ascii="宋体"/>
                <w:sz w:val="24"/>
                <w:szCs w:val="24"/>
              </w:rPr>
            </w:pPr>
          </w:p>
        </w:tc>
        <w:tc>
          <w:tcPr>
            <w:tcW w:w="232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eastAsia" w:ascii="楷体" w:hAnsi="楷体" w:eastAsia="楷体" w:cs="楷体"/>
                <w:sz w:val="19"/>
                <w:szCs w:val="19"/>
              </w:rPr>
              <w:t>2.没有现成信息需要另行制作</w:t>
            </w:r>
          </w:p>
        </w:tc>
        <w:tc>
          <w:tcPr>
            <w:tcW w:w="63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6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6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82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99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2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0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sz w:val="19"/>
                <w:szCs w:val="19"/>
              </w:rPr>
              <w:t> </w:t>
            </w:r>
            <w:r>
              <w:rPr>
                <w:rFonts w:hint="default" w:ascii="Times New Roman" w:hAnsi="Times New Roman" w:eastAsia="宋体" w:cs="Times New Roman"/>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95" w:type="dxa"/>
            <w:vMerge w:val="continue"/>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rPr>
                <w:rFonts w:hint="eastAsia" w:ascii="宋体"/>
                <w:sz w:val="24"/>
                <w:szCs w:val="24"/>
              </w:rPr>
            </w:pPr>
          </w:p>
        </w:tc>
        <w:tc>
          <w:tcPr>
            <w:tcW w:w="232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eastAsia" w:ascii="楷体" w:hAnsi="楷体" w:eastAsia="楷体" w:cs="楷体"/>
                <w:sz w:val="19"/>
                <w:szCs w:val="19"/>
              </w:rPr>
              <w:t>3.补正后申请内容仍不明确</w:t>
            </w:r>
          </w:p>
        </w:tc>
        <w:tc>
          <w:tcPr>
            <w:tcW w:w="63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6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6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82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99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2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0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sz w:val="19"/>
                <w:szCs w:val="19"/>
              </w:rPr>
              <w:t> </w:t>
            </w:r>
            <w:r>
              <w:rPr>
                <w:rFonts w:hint="default" w:ascii="Times New Roman" w:hAnsi="Times New Roman" w:eastAsia="宋体" w:cs="Times New Roman"/>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95" w:type="dxa"/>
            <w:vMerge w:val="continue"/>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rPr>
                <w:rFonts w:hint="eastAsia" w:ascii="宋体"/>
                <w:sz w:val="24"/>
                <w:szCs w:val="24"/>
              </w:rPr>
            </w:pPr>
          </w:p>
        </w:tc>
        <w:tc>
          <w:tcPr>
            <w:tcW w:w="855" w:type="dxa"/>
            <w:vMerge w:val="restart"/>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eastAsia" w:ascii="楷体" w:hAnsi="楷体" w:eastAsia="楷体" w:cs="楷体"/>
                <w:sz w:val="19"/>
                <w:szCs w:val="19"/>
              </w:rPr>
              <w:t>（五）不予处理</w:t>
            </w:r>
          </w:p>
        </w:tc>
        <w:tc>
          <w:tcPr>
            <w:tcW w:w="232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eastAsia" w:ascii="楷体" w:hAnsi="楷体" w:eastAsia="楷体" w:cs="楷体"/>
                <w:sz w:val="19"/>
                <w:szCs w:val="19"/>
              </w:rPr>
              <w:t>1.信访举报投诉类申请</w:t>
            </w:r>
          </w:p>
        </w:tc>
        <w:tc>
          <w:tcPr>
            <w:tcW w:w="63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6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6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82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99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2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0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sz w:val="19"/>
                <w:szCs w:val="19"/>
              </w:rPr>
              <w:t> </w:t>
            </w:r>
            <w:r>
              <w:rPr>
                <w:rFonts w:hint="default" w:ascii="Times New Roman" w:hAnsi="Times New Roman" w:eastAsia="宋体" w:cs="Times New Roman"/>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95" w:type="dxa"/>
            <w:vMerge w:val="continue"/>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rPr>
                <w:rFonts w:hint="eastAsia" w:ascii="宋体"/>
                <w:sz w:val="24"/>
                <w:szCs w:val="24"/>
              </w:rPr>
            </w:pPr>
          </w:p>
        </w:tc>
        <w:tc>
          <w:tcPr>
            <w:tcW w:w="232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eastAsia" w:ascii="楷体" w:hAnsi="楷体" w:eastAsia="楷体" w:cs="楷体"/>
                <w:sz w:val="19"/>
                <w:szCs w:val="19"/>
              </w:rPr>
              <w:t>2.重复申请</w:t>
            </w:r>
          </w:p>
        </w:tc>
        <w:tc>
          <w:tcPr>
            <w:tcW w:w="63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6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6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82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99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2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0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sz w:val="19"/>
                <w:szCs w:val="19"/>
              </w:rPr>
              <w:t> </w:t>
            </w:r>
            <w:r>
              <w:rPr>
                <w:rFonts w:hint="default" w:ascii="Times New Roman" w:hAnsi="Times New Roman" w:eastAsia="宋体" w:cs="Times New Roman"/>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95" w:type="dxa"/>
            <w:vMerge w:val="continue"/>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rPr>
                <w:rFonts w:hint="eastAsia" w:ascii="宋体"/>
                <w:sz w:val="24"/>
                <w:szCs w:val="24"/>
              </w:rPr>
            </w:pPr>
          </w:p>
        </w:tc>
        <w:tc>
          <w:tcPr>
            <w:tcW w:w="232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eastAsia" w:ascii="楷体" w:hAnsi="楷体" w:eastAsia="楷体" w:cs="楷体"/>
                <w:sz w:val="19"/>
                <w:szCs w:val="19"/>
              </w:rPr>
              <w:t>3.要求提供公开出版物</w:t>
            </w:r>
          </w:p>
        </w:tc>
        <w:tc>
          <w:tcPr>
            <w:tcW w:w="63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6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6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82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99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2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0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sz w:val="19"/>
                <w:szCs w:val="19"/>
              </w:rPr>
              <w:t> </w:t>
            </w:r>
            <w:r>
              <w:rPr>
                <w:rFonts w:hint="default" w:ascii="Times New Roman" w:hAnsi="Times New Roman" w:eastAsia="宋体" w:cs="Times New Roman"/>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95" w:type="dxa"/>
            <w:vMerge w:val="continue"/>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rPr>
                <w:rFonts w:hint="eastAsia" w:ascii="宋体"/>
                <w:sz w:val="24"/>
                <w:szCs w:val="24"/>
              </w:rPr>
            </w:pPr>
          </w:p>
        </w:tc>
        <w:tc>
          <w:tcPr>
            <w:tcW w:w="232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eastAsia" w:ascii="楷体" w:hAnsi="楷体" w:eastAsia="楷体" w:cs="楷体"/>
                <w:sz w:val="19"/>
                <w:szCs w:val="19"/>
              </w:rPr>
              <w:t>4.无正当理由大量反复申请</w:t>
            </w:r>
          </w:p>
        </w:tc>
        <w:tc>
          <w:tcPr>
            <w:tcW w:w="63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6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6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82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99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2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0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sz w:val="19"/>
                <w:szCs w:val="19"/>
              </w:rPr>
              <w:t> </w:t>
            </w:r>
            <w:r>
              <w:rPr>
                <w:rFonts w:hint="default" w:ascii="Times New Roman" w:hAnsi="Times New Roman" w:eastAsia="宋体" w:cs="Times New Roman"/>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95" w:type="dxa"/>
            <w:vMerge w:val="continue"/>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rPr>
                <w:rFonts w:hint="eastAsia" w:ascii="宋体"/>
                <w:sz w:val="24"/>
                <w:szCs w:val="24"/>
              </w:rPr>
            </w:pPr>
          </w:p>
        </w:tc>
        <w:tc>
          <w:tcPr>
            <w:tcW w:w="232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eastAsia" w:ascii="楷体" w:hAnsi="楷体" w:eastAsia="楷体" w:cs="楷体"/>
                <w:sz w:val="19"/>
                <w:szCs w:val="19"/>
              </w:rPr>
              <w:t>5.要求行政机关确认或重新出具已获取信息</w:t>
            </w:r>
          </w:p>
        </w:tc>
        <w:tc>
          <w:tcPr>
            <w:tcW w:w="63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6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6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82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99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2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0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sz w:val="19"/>
                <w:szCs w:val="19"/>
              </w:rPr>
              <w:t> </w:t>
            </w:r>
            <w:r>
              <w:rPr>
                <w:rFonts w:hint="default" w:ascii="Times New Roman" w:hAnsi="Times New Roman" w:eastAsia="宋体" w:cs="Times New Roman"/>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95" w:type="dxa"/>
            <w:vMerge w:val="continue"/>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rPr>
                <w:rFonts w:hint="eastAsia" w:ascii="宋体"/>
                <w:sz w:val="24"/>
                <w:szCs w:val="24"/>
              </w:rPr>
            </w:pPr>
          </w:p>
        </w:tc>
        <w:tc>
          <w:tcPr>
            <w:tcW w:w="3180" w:type="dxa"/>
            <w:gridSpan w:val="2"/>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eastAsia" w:ascii="楷体" w:hAnsi="楷体" w:eastAsia="楷体" w:cs="楷体"/>
                <w:sz w:val="19"/>
                <w:szCs w:val="19"/>
              </w:rPr>
              <w:t>（六）其他处理</w:t>
            </w:r>
          </w:p>
        </w:tc>
        <w:tc>
          <w:tcPr>
            <w:tcW w:w="63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6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6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82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99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2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0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sz w:val="19"/>
                <w:szCs w:val="19"/>
              </w:rPr>
              <w:t> </w:t>
            </w:r>
            <w:r>
              <w:rPr>
                <w:rFonts w:hint="default" w:ascii="Times New Roman" w:hAnsi="Times New Roman" w:eastAsia="宋体" w:cs="Times New Roman"/>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95" w:type="dxa"/>
            <w:vMerge w:val="continue"/>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rPr>
                <w:rFonts w:hint="eastAsia" w:ascii="宋体"/>
                <w:sz w:val="24"/>
                <w:szCs w:val="24"/>
              </w:rPr>
            </w:pPr>
          </w:p>
        </w:tc>
        <w:tc>
          <w:tcPr>
            <w:tcW w:w="3180" w:type="dxa"/>
            <w:gridSpan w:val="2"/>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eastAsia" w:ascii="楷体" w:hAnsi="楷体" w:eastAsia="楷体" w:cs="楷体"/>
                <w:sz w:val="19"/>
                <w:szCs w:val="19"/>
              </w:rPr>
              <w:t>（七）总计</w:t>
            </w:r>
          </w:p>
        </w:tc>
        <w:tc>
          <w:tcPr>
            <w:tcW w:w="63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6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6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82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99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2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0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sz w:val="19"/>
                <w:szCs w:val="19"/>
              </w:rPr>
              <w:t> </w:t>
            </w:r>
            <w:r>
              <w:rPr>
                <w:rFonts w:hint="default" w:ascii="Times New Roman" w:hAnsi="Times New Roman" w:eastAsia="宋体" w:cs="Times New Roman"/>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3675" w:type="dxa"/>
            <w:gridSpan w:val="3"/>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eastAsia" w:ascii="宋体" w:hAnsi="宋体" w:eastAsia="宋体" w:cs="宋体"/>
                <w:sz w:val="19"/>
                <w:szCs w:val="19"/>
              </w:rPr>
              <w:t>四、结转下年度继续办理</w:t>
            </w:r>
          </w:p>
        </w:tc>
        <w:tc>
          <w:tcPr>
            <w:tcW w:w="63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6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6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82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99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2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jc w:val="left"/>
            </w:pPr>
          </w:p>
        </w:tc>
        <w:tc>
          <w:tcPr>
            <w:tcW w:w="70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sz w:val="19"/>
                <w:szCs w:val="19"/>
              </w:rPr>
              <w:t> </w:t>
            </w:r>
            <w:r>
              <w:rPr>
                <w:rFonts w:hint="default" w:ascii="Times New Roman" w:hAnsi="Times New Roman" w:eastAsia="宋体" w:cs="Times New Roman"/>
                <w:sz w:val="19"/>
                <w:szCs w:val="19"/>
              </w:rPr>
              <w:t>0</w:t>
            </w:r>
          </w:p>
        </w:tc>
      </w:tr>
    </w:tbl>
    <w:p>
      <w:pPr>
        <w:pStyle w:val="4"/>
        <w:keepNext w:val="0"/>
        <w:keepLines w:val="0"/>
        <w:widowControl/>
        <w:suppressLineNumbers w:val="0"/>
        <w:spacing w:before="75" w:beforeAutospacing="0" w:after="75" w:afterAutospacing="0" w:line="585" w:lineRule="atLeast"/>
        <w:ind w:left="0" w:right="0"/>
      </w:pPr>
    </w:p>
    <w:p>
      <w:pPr>
        <w:pStyle w:val="4"/>
        <w:keepNext w:val="0"/>
        <w:keepLines w:val="0"/>
        <w:widowControl/>
        <w:suppressLineNumbers w:val="0"/>
        <w:spacing w:before="75" w:beforeAutospacing="0" w:after="75" w:afterAutospacing="0" w:line="585" w:lineRule="atLeast"/>
        <w:ind w:left="0" w:right="0"/>
      </w:pPr>
      <w:r>
        <w:rPr>
          <w:rFonts w:hint="eastAsia" w:ascii="方正黑体_GBK" w:hAnsi="方正黑体_GBK" w:eastAsia="方正黑体_GBK" w:cs="方正黑体_GBK"/>
          <w:sz w:val="31"/>
          <w:szCs w:val="31"/>
        </w:rPr>
        <w:t>      四、政府信息公开行政复议、行政诉讼情况</w:t>
      </w:r>
    </w:p>
    <w:p>
      <w:pPr>
        <w:pStyle w:val="4"/>
        <w:keepNext w:val="0"/>
        <w:keepLines w:val="0"/>
        <w:widowControl/>
        <w:suppressLineNumbers w:val="0"/>
        <w:spacing w:before="75" w:beforeAutospacing="0" w:after="75" w:afterAutospacing="0" w:line="585" w:lineRule="atLeast"/>
        <w:ind w:left="0" w:right="0"/>
      </w:pPr>
      <w:r>
        <w:rPr>
          <w:rFonts w:hint="eastAsia" w:ascii="方正黑体_GBK" w:hAnsi="方正黑体_GBK" w:eastAsia="方正黑体_GBK" w:cs="方正黑体_GBK"/>
          <w:sz w:val="31"/>
          <w:szCs w:val="31"/>
        </w:rPr>
        <w:t> </w:t>
      </w:r>
    </w:p>
    <w:tbl>
      <w:tblPr>
        <w:tblStyle w:val="5"/>
        <w:tblW w:w="90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075" w:type="dxa"/>
            <w:gridSpan w:val="5"/>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sz w:val="19"/>
                <w:szCs w:val="19"/>
              </w:rPr>
              <w:t>行政复议</w:t>
            </w:r>
          </w:p>
        </w:tc>
        <w:tc>
          <w:tcPr>
            <w:tcW w:w="6000" w:type="dxa"/>
            <w:gridSpan w:val="10"/>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sz w:val="19"/>
                <w:szCs w:val="19"/>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00" w:type="dxa"/>
            <w:vMerge w:val="restart"/>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sz w:val="19"/>
                <w:szCs w:val="19"/>
              </w:rPr>
              <w:t>结果维持</w:t>
            </w:r>
          </w:p>
        </w:tc>
        <w:tc>
          <w:tcPr>
            <w:tcW w:w="600" w:type="dxa"/>
            <w:vMerge w:val="restart"/>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sz w:val="19"/>
                <w:szCs w:val="19"/>
              </w:rPr>
              <w:t>结果纠正</w:t>
            </w:r>
          </w:p>
        </w:tc>
        <w:tc>
          <w:tcPr>
            <w:tcW w:w="600" w:type="dxa"/>
            <w:vMerge w:val="restart"/>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sz w:val="19"/>
                <w:szCs w:val="19"/>
              </w:rPr>
              <w:t>其他结果</w:t>
            </w:r>
          </w:p>
        </w:tc>
        <w:tc>
          <w:tcPr>
            <w:tcW w:w="600" w:type="dxa"/>
            <w:vMerge w:val="restart"/>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sz w:val="19"/>
                <w:szCs w:val="19"/>
              </w:rPr>
              <w:t>尚未审结</w:t>
            </w:r>
          </w:p>
        </w:tc>
        <w:tc>
          <w:tcPr>
            <w:tcW w:w="660" w:type="dxa"/>
            <w:vMerge w:val="restart"/>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sz w:val="19"/>
                <w:szCs w:val="19"/>
              </w:rPr>
              <w:t>总计</w:t>
            </w:r>
          </w:p>
        </w:tc>
        <w:tc>
          <w:tcPr>
            <w:tcW w:w="2970" w:type="dxa"/>
            <w:gridSpan w:val="5"/>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sz w:val="19"/>
                <w:szCs w:val="19"/>
              </w:rPr>
              <w:t>未经复议直接起诉</w:t>
            </w:r>
          </w:p>
        </w:tc>
        <w:tc>
          <w:tcPr>
            <w:tcW w:w="3030" w:type="dxa"/>
            <w:gridSpan w:val="5"/>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sz w:val="19"/>
                <w:szCs w:val="19"/>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00" w:type="dxa"/>
            <w:vMerge w:val="continue"/>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rPr>
                <w:rFonts w:hint="eastAsia" w:ascii="宋体"/>
                <w:sz w:val="24"/>
                <w:szCs w:val="24"/>
              </w:rPr>
            </w:pPr>
          </w:p>
        </w:tc>
        <w:tc>
          <w:tcPr>
            <w:tcW w:w="660" w:type="dxa"/>
            <w:vMerge w:val="continue"/>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rPr>
                <w:rFonts w:hint="eastAsia" w:ascii="宋体"/>
                <w:sz w:val="24"/>
                <w:szCs w:val="24"/>
              </w:rPr>
            </w:pPr>
          </w:p>
        </w:tc>
        <w:tc>
          <w:tcPr>
            <w:tcW w:w="55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sz w:val="19"/>
                <w:szCs w:val="19"/>
              </w:rPr>
              <w:t>结果维持</w:t>
            </w:r>
          </w:p>
        </w:tc>
        <w:tc>
          <w:tcPr>
            <w:tcW w:w="60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sz w:val="19"/>
                <w:szCs w:val="19"/>
              </w:rPr>
              <w:t>结果纠正</w:t>
            </w:r>
          </w:p>
        </w:tc>
        <w:tc>
          <w:tcPr>
            <w:tcW w:w="60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sz w:val="19"/>
                <w:szCs w:val="19"/>
              </w:rPr>
              <w:t>其他结果</w:t>
            </w:r>
          </w:p>
        </w:tc>
        <w:tc>
          <w:tcPr>
            <w:tcW w:w="60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sz w:val="19"/>
                <w:szCs w:val="19"/>
              </w:rPr>
              <w:t>尚未审结</w:t>
            </w:r>
          </w:p>
        </w:tc>
        <w:tc>
          <w:tcPr>
            <w:tcW w:w="60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sz w:val="19"/>
                <w:szCs w:val="19"/>
              </w:rPr>
              <w:t>总计</w:t>
            </w:r>
          </w:p>
        </w:tc>
        <w:tc>
          <w:tcPr>
            <w:tcW w:w="60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sz w:val="19"/>
                <w:szCs w:val="19"/>
              </w:rPr>
              <w:t>结果维持</w:t>
            </w:r>
          </w:p>
        </w:tc>
        <w:tc>
          <w:tcPr>
            <w:tcW w:w="60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sz w:val="19"/>
                <w:szCs w:val="19"/>
              </w:rPr>
              <w:t>结果纠正</w:t>
            </w:r>
          </w:p>
        </w:tc>
        <w:tc>
          <w:tcPr>
            <w:tcW w:w="60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sz w:val="19"/>
                <w:szCs w:val="19"/>
              </w:rPr>
              <w:t>其他结果</w:t>
            </w:r>
          </w:p>
        </w:tc>
        <w:tc>
          <w:tcPr>
            <w:tcW w:w="60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sz w:val="19"/>
                <w:szCs w:val="19"/>
              </w:rPr>
              <w:t>尚未审结</w:t>
            </w:r>
          </w:p>
        </w:tc>
        <w:tc>
          <w:tcPr>
            <w:tcW w:w="60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sz w:val="19"/>
                <w:szCs w:val="19"/>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0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Times New Roman" w:hAnsi="Times New Roman" w:cs="Times New Roman"/>
                <w:sz w:val="19"/>
                <w:szCs w:val="19"/>
              </w:rPr>
              <w:t> </w:t>
            </w:r>
            <w:r>
              <w:rPr>
                <w:rFonts w:hint="default" w:ascii="Times New Roman" w:hAnsi="Times New Roman" w:eastAsia="宋体" w:cs="Times New Roman"/>
                <w:sz w:val="19"/>
                <w:szCs w:val="19"/>
              </w:rPr>
              <w:t>0</w:t>
            </w:r>
          </w:p>
        </w:tc>
        <w:tc>
          <w:tcPr>
            <w:tcW w:w="60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sz w:val="19"/>
                <w:szCs w:val="19"/>
              </w:rPr>
              <w:t> </w:t>
            </w:r>
            <w:r>
              <w:rPr>
                <w:rFonts w:hint="default" w:ascii="Times New Roman" w:hAnsi="Times New Roman" w:eastAsia="宋体" w:cs="Times New Roman"/>
                <w:sz w:val="19"/>
                <w:szCs w:val="19"/>
              </w:rPr>
              <w:t>0</w:t>
            </w:r>
          </w:p>
        </w:tc>
        <w:tc>
          <w:tcPr>
            <w:tcW w:w="60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sz w:val="19"/>
                <w:szCs w:val="19"/>
              </w:rPr>
              <w:t> </w:t>
            </w:r>
            <w:r>
              <w:rPr>
                <w:rFonts w:hint="default" w:ascii="Times New Roman" w:hAnsi="Times New Roman" w:eastAsia="宋体" w:cs="Times New Roman"/>
                <w:sz w:val="19"/>
                <w:szCs w:val="19"/>
              </w:rPr>
              <w:t>0</w:t>
            </w:r>
          </w:p>
        </w:tc>
        <w:tc>
          <w:tcPr>
            <w:tcW w:w="60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sz w:val="19"/>
                <w:szCs w:val="19"/>
              </w:rPr>
              <w:t> </w:t>
            </w:r>
            <w:r>
              <w:rPr>
                <w:rFonts w:hint="default" w:ascii="Times New Roman" w:hAnsi="Times New Roman" w:eastAsia="宋体" w:cs="Times New Roman"/>
                <w:sz w:val="19"/>
                <w:szCs w:val="19"/>
              </w:rPr>
              <w:t>0</w:t>
            </w:r>
          </w:p>
        </w:tc>
        <w:tc>
          <w:tcPr>
            <w:tcW w:w="66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sz w:val="19"/>
                <w:szCs w:val="19"/>
              </w:rPr>
              <w:t> </w:t>
            </w:r>
            <w:r>
              <w:rPr>
                <w:rFonts w:hint="default" w:ascii="Times New Roman" w:hAnsi="Times New Roman" w:eastAsia="宋体" w:cs="Times New Roman"/>
                <w:sz w:val="19"/>
                <w:szCs w:val="19"/>
              </w:rPr>
              <w:t>0</w:t>
            </w:r>
          </w:p>
        </w:tc>
        <w:tc>
          <w:tcPr>
            <w:tcW w:w="555"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sz w:val="19"/>
                <w:szCs w:val="19"/>
              </w:rPr>
              <w:t> </w:t>
            </w:r>
            <w:r>
              <w:rPr>
                <w:rFonts w:hint="default" w:ascii="Times New Roman" w:hAnsi="Times New Roman" w:eastAsia="宋体" w:cs="Times New Roman"/>
                <w:sz w:val="19"/>
                <w:szCs w:val="19"/>
              </w:rPr>
              <w:t>0</w:t>
            </w:r>
          </w:p>
        </w:tc>
        <w:tc>
          <w:tcPr>
            <w:tcW w:w="60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sz w:val="19"/>
                <w:szCs w:val="19"/>
              </w:rPr>
              <w:t> </w:t>
            </w:r>
            <w:r>
              <w:rPr>
                <w:rFonts w:hint="default" w:ascii="Times New Roman" w:hAnsi="Times New Roman" w:eastAsia="宋体" w:cs="Times New Roman"/>
                <w:sz w:val="19"/>
                <w:szCs w:val="19"/>
              </w:rPr>
              <w:t>0</w:t>
            </w:r>
          </w:p>
        </w:tc>
        <w:tc>
          <w:tcPr>
            <w:tcW w:w="60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sz w:val="19"/>
                <w:szCs w:val="19"/>
              </w:rPr>
              <w:t> </w:t>
            </w:r>
            <w:r>
              <w:rPr>
                <w:rFonts w:hint="default" w:ascii="Times New Roman" w:hAnsi="Times New Roman" w:eastAsia="宋体" w:cs="Times New Roman"/>
                <w:sz w:val="19"/>
                <w:szCs w:val="19"/>
              </w:rPr>
              <w:t>0</w:t>
            </w:r>
          </w:p>
        </w:tc>
        <w:tc>
          <w:tcPr>
            <w:tcW w:w="60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sz w:val="19"/>
                <w:szCs w:val="19"/>
              </w:rPr>
              <w:t> </w:t>
            </w:r>
            <w:r>
              <w:rPr>
                <w:rFonts w:hint="default" w:ascii="Times New Roman" w:hAnsi="Times New Roman" w:eastAsia="宋体" w:cs="Times New Roman"/>
                <w:sz w:val="19"/>
                <w:szCs w:val="19"/>
              </w:rPr>
              <w:t>0</w:t>
            </w:r>
          </w:p>
        </w:tc>
        <w:tc>
          <w:tcPr>
            <w:tcW w:w="60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sz w:val="19"/>
                <w:szCs w:val="19"/>
              </w:rPr>
              <w:t> </w:t>
            </w:r>
            <w:r>
              <w:rPr>
                <w:rFonts w:hint="default" w:ascii="Times New Roman" w:hAnsi="Times New Roman" w:eastAsia="宋体" w:cs="Times New Roman"/>
                <w:sz w:val="19"/>
                <w:szCs w:val="19"/>
              </w:rPr>
              <w:t>0</w:t>
            </w:r>
          </w:p>
        </w:tc>
        <w:tc>
          <w:tcPr>
            <w:tcW w:w="60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sz w:val="19"/>
                <w:szCs w:val="19"/>
              </w:rPr>
              <w:t> </w:t>
            </w:r>
            <w:r>
              <w:rPr>
                <w:rFonts w:hint="default" w:ascii="Times New Roman" w:hAnsi="Times New Roman" w:eastAsia="宋体" w:cs="Times New Roman"/>
                <w:sz w:val="19"/>
                <w:szCs w:val="19"/>
              </w:rPr>
              <w:t>0</w:t>
            </w:r>
          </w:p>
        </w:tc>
        <w:tc>
          <w:tcPr>
            <w:tcW w:w="60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sz w:val="19"/>
                <w:szCs w:val="19"/>
              </w:rPr>
              <w:t> </w:t>
            </w:r>
            <w:r>
              <w:rPr>
                <w:rFonts w:hint="default" w:ascii="Times New Roman" w:hAnsi="Times New Roman" w:eastAsia="宋体" w:cs="Times New Roman"/>
                <w:sz w:val="19"/>
                <w:szCs w:val="19"/>
              </w:rPr>
              <w:t>0</w:t>
            </w:r>
          </w:p>
        </w:tc>
        <w:tc>
          <w:tcPr>
            <w:tcW w:w="60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sz w:val="19"/>
                <w:szCs w:val="19"/>
              </w:rPr>
              <w:t> </w:t>
            </w:r>
            <w:r>
              <w:rPr>
                <w:rFonts w:hint="default" w:ascii="Times New Roman" w:hAnsi="Times New Roman" w:eastAsia="宋体" w:cs="Times New Roman"/>
                <w:sz w:val="19"/>
                <w:szCs w:val="19"/>
              </w:rPr>
              <w:t>0</w:t>
            </w:r>
          </w:p>
        </w:tc>
        <w:tc>
          <w:tcPr>
            <w:tcW w:w="60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sz w:val="19"/>
                <w:szCs w:val="19"/>
              </w:rPr>
              <w:t> </w:t>
            </w:r>
            <w:r>
              <w:rPr>
                <w:rFonts w:hint="default" w:ascii="Times New Roman" w:hAnsi="Times New Roman" w:eastAsia="宋体" w:cs="Times New Roman"/>
                <w:sz w:val="19"/>
                <w:szCs w:val="19"/>
              </w:rPr>
              <w:t>0</w:t>
            </w:r>
          </w:p>
        </w:tc>
        <w:tc>
          <w:tcPr>
            <w:tcW w:w="600" w:type="dxa"/>
            <w:tcBorders>
              <w:top w:val="single" w:color="auto" w:sz="6" w:space="0"/>
              <w:left w:val="single" w:color="auto" w:sz="6" w:space="0"/>
              <w:bottom w:val="single" w:color="auto" w:sz="6" w:space="0"/>
              <w:right w:val="single" w:color="auto" w:sz="6" w:space="0"/>
            </w:tcBorders>
            <w:shd w:val="clear" w:color="auto" w:fill="auto"/>
            <w:noWrap/>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Times New Roman" w:hAnsi="Times New Roman" w:cs="Times New Roman"/>
                <w:sz w:val="19"/>
                <w:szCs w:val="19"/>
              </w:rPr>
              <w:t> </w:t>
            </w:r>
            <w:r>
              <w:rPr>
                <w:rFonts w:hint="default" w:ascii="Times New Roman" w:hAnsi="Times New Roman" w:eastAsia="宋体" w:cs="Times New Roman"/>
                <w:sz w:val="19"/>
                <w:szCs w:val="19"/>
              </w:rPr>
              <w:t>0</w:t>
            </w:r>
          </w:p>
        </w:tc>
      </w:tr>
    </w:tbl>
    <w:p>
      <w:pPr>
        <w:pStyle w:val="4"/>
        <w:keepNext w:val="0"/>
        <w:keepLines w:val="0"/>
        <w:widowControl/>
        <w:suppressLineNumbers w:val="0"/>
        <w:spacing w:before="75" w:beforeAutospacing="0" w:after="75" w:afterAutospacing="0" w:line="555" w:lineRule="atLeast"/>
        <w:ind w:left="0" w:right="0" w:firstLine="645"/>
      </w:pPr>
      <w:r>
        <w:rPr>
          <w:rFonts w:hint="eastAsia" w:ascii="方正黑体_GBK" w:hAnsi="方正黑体_GBK" w:eastAsia="方正黑体_GBK" w:cs="方正黑体_GBK"/>
          <w:sz w:val="31"/>
          <w:szCs w:val="31"/>
        </w:rPr>
        <w:t>五、存在的主要问题及改进情况</w:t>
      </w:r>
    </w:p>
    <w:p>
      <w:pPr>
        <w:pStyle w:val="4"/>
        <w:keepNext w:val="0"/>
        <w:keepLines w:val="0"/>
        <w:widowControl/>
        <w:suppressLineNumbers w:val="0"/>
        <w:spacing w:before="75" w:beforeAutospacing="0" w:after="75" w:afterAutospacing="0" w:line="555" w:lineRule="atLeast"/>
        <w:ind w:left="0" w:right="0" w:firstLine="315"/>
      </w:pPr>
      <w:r>
        <w:rPr>
          <w:rFonts w:hint="eastAsia" w:ascii="方正楷体_GBK" w:hAnsi="方正楷体_GBK" w:eastAsia="方正楷体_GBK" w:cs="方正楷体_GBK"/>
          <w:sz w:val="31"/>
          <w:szCs w:val="31"/>
        </w:rPr>
        <w:t>（一）存在的主要问题。</w:t>
      </w:r>
      <w:r>
        <w:rPr>
          <w:rFonts w:hint="eastAsia" w:ascii="方正仿宋_GBK" w:hAnsi="方正仿宋_GBK" w:eastAsia="方正仿宋_GBK" w:cs="方正仿宋_GBK"/>
          <w:sz w:val="31"/>
          <w:szCs w:val="31"/>
        </w:rPr>
        <w:t>一是对《条例》的学习不够、理解不深，各职能办公室工作人员对哪些信息应该主动公开、哪些可依申请公开、哪些依法不能公开把握不准，工作主动性差。二是各职能办公室对贯彻实施《条例》重要性的认识不深、重视不够，工作进展较为缓慢。</w:t>
      </w:r>
    </w:p>
    <w:p>
      <w:pPr>
        <w:pStyle w:val="4"/>
        <w:keepNext w:val="0"/>
        <w:keepLines w:val="0"/>
        <w:widowControl/>
        <w:suppressLineNumbers w:val="0"/>
        <w:spacing w:before="75" w:beforeAutospacing="0" w:after="75" w:afterAutospacing="0" w:line="555" w:lineRule="atLeast"/>
        <w:ind w:left="0" w:right="0" w:firstLine="315"/>
      </w:pPr>
      <w:r>
        <w:rPr>
          <w:rFonts w:hint="eastAsia" w:ascii="方正楷体_GBK" w:hAnsi="方正楷体_GBK" w:eastAsia="方正楷体_GBK" w:cs="方正楷体_GBK"/>
          <w:sz w:val="31"/>
          <w:szCs w:val="31"/>
        </w:rPr>
        <w:t>（二）下步工作措施。</w:t>
      </w:r>
      <w:r>
        <w:rPr>
          <w:rFonts w:hint="eastAsia" w:ascii="方正仿宋_GBK" w:hAnsi="方正仿宋_GBK" w:eastAsia="方正仿宋_GBK" w:cs="方正仿宋_GBK"/>
          <w:sz w:val="31"/>
          <w:szCs w:val="31"/>
        </w:rPr>
        <w:t>一是加强监督和督办。继续组织专门人员查找政府信息公开的薄弱环节，以行政审批和行政执法的程序和结果为重点，督促不断拓展政府信息公开的深度和广度，不断提高政府工作的透明度，发挥政府信息对人民群众生产、生活和经济社会活动的服务作用。二是丰富公开形式。在进一步提升网站服务功能、完善网站公开形式的基础上，积极创新公开形式，拓展公开渠道，开辟政府信息公开专栏等途径，不断丰富政府信息公开的形式，保障社会公众便利获取政府信息。三是自觉接受社会监督。把政府信息公开工作纳入社会评议政风、行风的范围，让人民群众对政府信息公开情况进行评议，并根据评议结果完善制度、改进工作。四是主动接受社会监督。实现行政机关工作的透明、公开、廉洁、高效。</w:t>
      </w:r>
    </w:p>
    <w:p>
      <w:pPr>
        <w:pStyle w:val="4"/>
        <w:keepNext w:val="0"/>
        <w:keepLines w:val="0"/>
        <w:widowControl/>
        <w:suppressLineNumbers w:val="0"/>
        <w:spacing w:before="75" w:beforeAutospacing="0" w:after="75" w:afterAutospacing="0" w:line="555" w:lineRule="atLeast"/>
        <w:ind w:left="0" w:right="0" w:firstLine="315"/>
      </w:pPr>
      <w:r>
        <w:rPr>
          <w:rFonts w:hint="eastAsia" w:ascii="方正黑体_GBK" w:hAnsi="方正黑体_GBK" w:eastAsia="方正黑体_GBK" w:cs="方正黑体_GBK"/>
          <w:sz w:val="31"/>
          <w:szCs w:val="31"/>
        </w:rPr>
        <w:t>六、其他需要报告的事项</w:t>
      </w:r>
    </w:p>
    <w:p>
      <w:pPr>
        <w:pStyle w:val="4"/>
        <w:keepNext w:val="0"/>
        <w:keepLines w:val="0"/>
        <w:widowControl/>
        <w:suppressLineNumbers w:val="0"/>
        <w:spacing w:before="75" w:beforeAutospacing="0" w:after="75" w:afterAutospacing="0" w:line="555" w:lineRule="atLeast"/>
        <w:ind w:left="0" w:right="0" w:firstLine="315"/>
      </w:pPr>
      <w:r>
        <w:rPr>
          <w:rFonts w:hint="eastAsia" w:ascii="方正仿宋_GBK" w:hAnsi="方正仿宋_GBK" w:eastAsia="方正仿宋_GBK" w:cs="方正仿宋_GBK"/>
          <w:sz w:val="31"/>
          <w:szCs w:val="31"/>
        </w:rPr>
        <w:t>无其它事项说明。</w:t>
      </w:r>
    </w:p>
    <w:p>
      <w:pPr>
        <w:pStyle w:val="4"/>
        <w:keepNext w:val="0"/>
        <w:keepLines w:val="0"/>
        <w:widowControl/>
        <w:suppressLineNumbers w:val="0"/>
        <w:spacing w:before="75" w:beforeAutospacing="0" w:after="75" w:afterAutospacing="0" w:line="555" w:lineRule="atLeast"/>
        <w:ind w:left="0" w:right="0" w:firstLine="315"/>
      </w:pPr>
      <w:r>
        <w:rPr>
          <w:rFonts w:hint="default" w:ascii="Times New Roman" w:hAnsi="Times New Roman" w:cs="Times New Roman"/>
          <w:sz w:val="31"/>
          <w:szCs w:val="31"/>
        </w:rPr>
        <w:t> </w:t>
      </w:r>
    </w:p>
    <w:p>
      <w:pPr>
        <w:pStyle w:val="4"/>
        <w:keepNext w:val="0"/>
        <w:keepLines w:val="0"/>
        <w:widowControl/>
        <w:suppressLineNumbers w:val="0"/>
        <w:spacing w:before="75" w:beforeAutospacing="0" w:after="75" w:afterAutospacing="0"/>
        <w:ind w:left="0" w:right="0"/>
      </w:pPr>
      <w:r>
        <w:rPr>
          <w:rFonts w:hint="eastAsia" w:ascii="方正仿宋_GBK" w:hAnsi="方正仿宋_GBK" w:eastAsia="方正仿宋_GBK" w:cs="方正仿宋_GBK"/>
          <w:sz w:val="31"/>
          <w:szCs w:val="31"/>
        </w:rPr>
        <w:t>                                             </w:t>
      </w:r>
      <w:bookmarkStart w:id="0" w:name="_GoBack"/>
      <w:bookmarkEnd w:id="0"/>
      <w:r>
        <w:rPr>
          <w:rFonts w:hint="eastAsia" w:ascii="方正仿宋_GBK" w:hAnsi="方正仿宋_GBK" w:eastAsia="方正仿宋_GBK" w:cs="方正仿宋_GBK"/>
          <w:sz w:val="31"/>
          <w:szCs w:val="31"/>
        </w:rPr>
        <w:t>甘庄街道办事处</w:t>
      </w:r>
    </w:p>
    <w:p>
      <w:pPr>
        <w:pStyle w:val="4"/>
        <w:keepNext w:val="0"/>
        <w:keepLines w:val="0"/>
        <w:widowControl/>
        <w:suppressLineNumbers w:val="0"/>
        <w:spacing w:before="75" w:beforeAutospacing="0" w:after="75" w:afterAutospacing="0"/>
        <w:ind w:left="0" w:right="0" w:firstLine="4800"/>
      </w:pPr>
      <w:r>
        <w:rPr>
          <w:rFonts w:hint="default" w:ascii="Times New Roman" w:hAnsi="Times New Roman" w:eastAsia="方正仿宋_GBK" w:cs="Times New Roman"/>
          <w:sz w:val="31"/>
          <w:szCs w:val="31"/>
        </w:rPr>
        <w:t>     2022</w:t>
      </w:r>
      <w:r>
        <w:rPr>
          <w:rFonts w:hint="eastAsia" w:ascii="方正仿宋_GBK" w:hAnsi="方正仿宋_GBK" w:eastAsia="方正仿宋_GBK" w:cs="方正仿宋_GBK"/>
          <w:sz w:val="31"/>
          <w:szCs w:val="31"/>
        </w:rPr>
        <w:t>年</w:t>
      </w: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月</w:t>
      </w:r>
      <w:r>
        <w:rPr>
          <w:rFonts w:hint="default" w:ascii="Times New Roman" w:hAnsi="Times New Roman" w:eastAsia="方正仿宋_GBK" w:cs="Times New Roman"/>
          <w:sz w:val="31"/>
          <w:szCs w:val="31"/>
        </w:rPr>
        <w:t>30</w:t>
      </w:r>
      <w:r>
        <w:rPr>
          <w:rFonts w:hint="eastAsia" w:ascii="方正仿宋_GBK" w:hAnsi="方正仿宋_GBK" w:eastAsia="方正仿宋_GBK" w:cs="方正仿宋_GBK"/>
          <w:sz w:val="31"/>
          <w:szCs w:val="31"/>
        </w:rPr>
        <w:t>日</w:t>
      </w:r>
    </w:p>
    <w:p>
      <w:pPr>
        <w:ind w:firstLine="4800" w:firstLineChars="1500"/>
        <w:rPr>
          <w:rFonts w:eastAsia="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hhMGM2ODQ1NWE0ZTBhZGI0NWY1YjNhZDQzNjg2NjcifQ=="/>
  </w:docVars>
  <w:rsids>
    <w:rsidRoot w:val="411062DB"/>
    <w:rsid w:val="0003362B"/>
    <w:rsid w:val="00060C59"/>
    <w:rsid w:val="000829C8"/>
    <w:rsid w:val="00391323"/>
    <w:rsid w:val="004020DE"/>
    <w:rsid w:val="00415BF9"/>
    <w:rsid w:val="006444E4"/>
    <w:rsid w:val="00C81B63"/>
    <w:rsid w:val="00D114AD"/>
    <w:rsid w:val="00E0026B"/>
    <w:rsid w:val="0E387E0B"/>
    <w:rsid w:val="10485510"/>
    <w:rsid w:val="2CF56B2C"/>
    <w:rsid w:val="3C324195"/>
    <w:rsid w:val="411062DB"/>
    <w:rsid w:val="69252D81"/>
    <w:rsid w:val="6DAD2362"/>
    <w:rsid w:val="6F4517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2345</Words>
  <Characters>2447</Characters>
  <Lines>21</Lines>
  <Paragraphs>6</Paragraphs>
  <TotalTime>0</TotalTime>
  <ScaleCrop>false</ScaleCrop>
  <LinksUpToDate>false</LinksUpToDate>
  <CharactersWithSpaces>2686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2021-01-28T07:20:00Z</dcterms:created>
  <dc:creator>绝尽男</dc:creator>
  <cp:lastModifiedBy>Administrator</cp:lastModifiedBy>
  <dcterms:modified xsi:type="dcterms:W3CDTF">2023-03-01T07:58:39Z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SaveFontToCloudKey">
    <vt:lpwstr>323280801_cloud</vt:lpwstr>
  </property>
  <property fmtid="{D5CDD505-2E9C-101B-9397-08002B2CF9AE}" pid="4" name="ICV">
    <vt:lpwstr>97009E872AAA45A8B2CA6AF706DA1507</vt:lpwstr>
  </property>
</Properties>
</file>