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  <w:tab w:val="left" w:pos="756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0" w:lineRule="atLeast"/>
        <w:jc w:val="both"/>
        <w:textAlignment w:val="auto"/>
        <w:rPr>
          <w:rFonts w:eastAsia="方正仿宋_GBK"/>
          <w:bCs/>
          <w:sz w:val="15"/>
          <w:szCs w:val="15"/>
        </w:rPr>
      </w:pPr>
      <w:bookmarkStart w:id="0" w:name="OLE_LINK1"/>
    </w:p>
    <w:bookmarkEnd w:id="0"/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元江县财政局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关于下达2021年省级陡坡地生态治理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补助资金的通知</w:t>
      </w:r>
    </w:p>
    <w:p>
      <w:pPr>
        <w:spacing w:line="590" w:lineRule="exact"/>
        <w:jc w:val="left"/>
        <w:rPr>
          <w:rFonts w:ascii="Times New Roman" w:hAnsi="Times New Roman" w:cs="Times New Roman"/>
        </w:rPr>
      </w:pPr>
    </w:p>
    <w:p>
      <w:pPr>
        <w:spacing w:line="59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县林业和草原局：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根据《玉溪市财政局 玉溪市林业和草原局关于下达2021年陡坡地生态治理补助资金的通知》（玉财资环〔2021〕61号）文件，经县政府同意，现将2021年省级陡坡地生态治理补助资金60万元下达给你们，请列入2021年“2130205-森林资源培育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，部门经济分类科目列“</w:t>
      </w:r>
      <w:r>
        <w:rPr>
          <w:rFonts w:ascii="Times New Roman" w:hAnsi="Times New Roman" w:eastAsia="方正仿宋_GBK" w:cs="Times New Roman"/>
          <w:sz w:val="32"/>
          <w:szCs w:val="32"/>
        </w:rPr>
        <w:t>30227-委托业务费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”。并将相关事项通知如下：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、省级陡坡地生态治理项目补助政策为1500元/亩，资金分三次兑付，第一年补助800元/亩(其中种苗造林补助300元/亩)，第三年300元/亩，第五年400元/亩。种苗造林补助300元/亩由各地林业主管部门统一管理，统一组织实施;由各乡镇财政部门根据林业主管部门检查验收结果直接兑付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二、陡坡地生态治理项目实施时要以高铁沿线、公路沿线和水源涵养区等特殊生态脆弱区为布局重点，昆明-西双版纳高速公路沿线县区要确保任务落实在高速公路沿线面山。要把陡坡地生态治理和乡村振兴、林产业发展有机结合起来，积极培植资源，发展产业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三、请本着勤俭节约，专款专用的原则，加强资金绩效管理，切实提高财政资金使用效益，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将预算绩效管理贯穿于绩效目标编制、绩效跟踪、绩效评价及结果运用等各环节。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widowControl/>
        <w:spacing w:line="590" w:lineRule="exact"/>
        <w:ind w:left="1380" w:leftChars="200" w:hanging="960" w:hangingChars="300"/>
        <w:textAlignment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2021年省级陡坡地生态治理及退耕还林还草工作经费绩效目标表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元江县财政局             </w:t>
      </w:r>
    </w:p>
    <w:p>
      <w:pPr>
        <w:spacing w:line="590" w:lineRule="exact"/>
        <w:ind w:firstLine="4640" w:firstLineChars="14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2021年10月27日</w:t>
      </w:r>
    </w:p>
    <w:p>
      <w:pPr>
        <w:pStyle w:val="2"/>
        <w:spacing w:line="590" w:lineRule="exact"/>
        <w:ind w:firstLine="0"/>
        <w:rPr>
          <w:rFonts w:ascii="Times New Roman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2021年省级陡坡地生态治理及退耕还林还草工作经费绩效目标表</w:t>
      </w:r>
    </w:p>
    <w:tbl>
      <w:tblPr>
        <w:tblStyle w:val="5"/>
        <w:tblpPr w:leftFromText="180" w:rightFromText="180" w:vertAnchor="text" w:horzAnchor="page" w:tblpX="1442" w:tblpY="5"/>
        <w:tblOverlap w:val="never"/>
        <w:tblW w:w="145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584"/>
        <w:gridCol w:w="2544"/>
        <w:gridCol w:w="1752"/>
        <w:gridCol w:w="1640"/>
        <w:gridCol w:w="5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项目名称</w:t>
            </w:r>
          </w:p>
        </w:tc>
        <w:tc>
          <w:tcPr>
            <w:tcW w:w="4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陡坡地生态治理及退耕还林还草工作经费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预算资金安排</w:t>
            </w:r>
          </w:p>
        </w:tc>
        <w:tc>
          <w:tcPr>
            <w:tcW w:w="7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本次下达金额60万元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项目年度目标</w:t>
            </w:r>
          </w:p>
        </w:tc>
        <w:tc>
          <w:tcPr>
            <w:tcW w:w="13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1.完成2019年陡坡地生态治理任务0.2万亩补助60万元兑付；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2.退耕农户满意度达80%以上。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一级指标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二级指标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三级指标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指标值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绩效指标值设定依据及数据来源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年度目标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2" w:type="dxa"/>
            <w:vMerge w:val="restart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产出指标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2019年陡坡地治理补助资金兑现率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100%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实施面积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用于反映增加的造林面积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公示率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≥95%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查阅公示资料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用于反映接受社会和群众监督的情况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档案管理建档率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≥95%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查阅档案资料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《退耕还林工程档案管理办法》规定退耕还林工程档案管理应纳入工程管理全过程，与工程建设同步实施。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质量指标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造林保存率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一般地区≥80%、特殊地区≥65%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检查验收情况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造林保存率＝单位面积树种保存株数/小班单位面积树种造林总株数。特殊地区包括半干旱区、干旱区、极干旱区、高寒区、热带亚热带岩溶地区、干热（干旱）河谷地区，特殊地区以外的地区为一般地区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质量指标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作业设计合格率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≥95%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作业设计质量检查结果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新一轮退耕还林工程作业设计技术规定 退耕还林工程必须按《新一轮退耕还林工程作业设计技术规定》的要求完成工程作业设计编制，通过质量检查报告，反映作业设计编制质量。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质量指标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造林成活率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一般地区≥85%、特殊地区≥70%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检查验收情况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指单位面积成活株数与造林总株数之比。特殊地区包括半干旱区、干旱区、极干旱区、高寒区、热带亚热带岩溶地区、干热（干旱）河谷地区，特殊地区以外的地区为一般地区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效益指标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经济效益指标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退耕农户家庭收入情况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提高20%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问卷调查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仅考虑退耕还林因素影响，家庭年总收入比退耕前高于20%为优，20－15%为良、15－10%为中、10%以下为差。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满意度指标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退耕农户满意度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≥80%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问卷调查</w:t>
            </w:r>
          </w:p>
        </w:tc>
        <w:tc>
          <w:tcPr>
            <w:tcW w:w="5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用于反映退耕农户对退耕还林项目的满意情况</w:t>
            </w:r>
          </w:p>
        </w:tc>
      </w:tr>
    </w:tbl>
    <w:p>
      <w:pPr>
        <w:snapToGrid w:val="0"/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205809"/>
                  <w:docPartObj>
                    <w:docPartGallery w:val="autotext"/>
                  </w:docPartObj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right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6BB"/>
    <w:rsid w:val="000034A7"/>
    <w:rsid w:val="000577B3"/>
    <w:rsid w:val="000B3152"/>
    <w:rsid w:val="000D278C"/>
    <w:rsid w:val="001131F5"/>
    <w:rsid w:val="001306C0"/>
    <w:rsid w:val="001510D8"/>
    <w:rsid w:val="00194517"/>
    <w:rsid w:val="001C619B"/>
    <w:rsid w:val="001D6E80"/>
    <w:rsid w:val="002C6147"/>
    <w:rsid w:val="002D4240"/>
    <w:rsid w:val="00307AE3"/>
    <w:rsid w:val="00322E7F"/>
    <w:rsid w:val="003F78B0"/>
    <w:rsid w:val="00491B43"/>
    <w:rsid w:val="004F3408"/>
    <w:rsid w:val="0057474A"/>
    <w:rsid w:val="005C4B77"/>
    <w:rsid w:val="0062165C"/>
    <w:rsid w:val="00643227"/>
    <w:rsid w:val="0066740A"/>
    <w:rsid w:val="007A34FC"/>
    <w:rsid w:val="008278ED"/>
    <w:rsid w:val="00834CF3"/>
    <w:rsid w:val="00850E99"/>
    <w:rsid w:val="00875A8C"/>
    <w:rsid w:val="008C21C9"/>
    <w:rsid w:val="0092526E"/>
    <w:rsid w:val="00973B65"/>
    <w:rsid w:val="009F2C5C"/>
    <w:rsid w:val="00B10C92"/>
    <w:rsid w:val="00B116BB"/>
    <w:rsid w:val="00B96A27"/>
    <w:rsid w:val="00BA0537"/>
    <w:rsid w:val="00BE7B39"/>
    <w:rsid w:val="00C1412A"/>
    <w:rsid w:val="00C84CDA"/>
    <w:rsid w:val="00D55385"/>
    <w:rsid w:val="00D77DFB"/>
    <w:rsid w:val="00D831BE"/>
    <w:rsid w:val="00D91A55"/>
    <w:rsid w:val="00D95BF7"/>
    <w:rsid w:val="00E24D5B"/>
    <w:rsid w:val="00F80E22"/>
    <w:rsid w:val="00F87D6A"/>
    <w:rsid w:val="00FE13D2"/>
    <w:rsid w:val="52C74EA6"/>
    <w:rsid w:val="65855F63"/>
    <w:rsid w:val="746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225</Words>
  <Characters>1285</Characters>
  <Lines>10</Lines>
  <Paragraphs>3</Paragraphs>
  <TotalTime>1</TotalTime>
  <ScaleCrop>false</ScaleCrop>
  <LinksUpToDate>false</LinksUpToDate>
  <CharactersWithSpaces>1507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2021-10-21T08:18:00Z</dcterms:created>
  <dc:creator>Administrator</dc:creator>
  <cp:lastModifiedBy>杨云春</cp:lastModifiedBy>
  <dcterms:modified xsi:type="dcterms:W3CDTF">2022-01-12T15:23:42Z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