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元江</w:t>
      </w:r>
      <w:r>
        <w:rPr>
          <w:rFonts w:hint="default" w:ascii="Times New Roman" w:hAnsi="Times New Roman" w:eastAsia="方正小标宋_GBK" w:cs="Times New Roman"/>
          <w:kern w:val="44"/>
          <w:sz w:val="44"/>
          <w:szCs w:val="44"/>
          <w:highlight w:val="none"/>
          <w:eastAsianLayout w:id="3" w:combine="1"/>
        </w:rPr>
        <w:t>哈 尼 族彝族傣族</w:t>
      </w:r>
      <w:r>
        <w:rPr>
          <w:rFonts w:hint="default" w:ascii="Times New Roman" w:hAnsi="Times New Roman" w:eastAsia="方正小标宋_GBK" w:cs="Times New Roman"/>
          <w:sz w:val="44"/>
          <w:szCs w:val="44"/>
          <w:highlight w:val="none"/>
        </w:rPr>
        <w:t>自治县</w:t>
      </w:r>
    </w:p>
    <w:p>
      <w:pPr>
        <w:spacing w:line="70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20</w:t>
      </w:r>
      <w:r>
        <w:rPr>
          <w:rFonts w:hint="default" w:ascii="Times New Roman" w:hAnsi="Times New Roman" w:eastAsia="方正小标宋_GBK" w:cs="Times New Roman"/>
          <w:sz w:val="44"/>
          <w:szCs w:val="44"/>
          <w:highlight w:val="none"/>
          <w:lang w:val="en-US" w:eastAsia="zh-CN"/>
        </w:rPr>
        <w:t>20</w:t>
      </w:r>
      <w:r>
        <w:rPr>
          <w:rFonts w:hint="default" w:ascii="Times New Roman" w:hAnsi="Times New Roman" w:eastAsia="方正小标宋_GBK" w:cs="Times New Roman"/>
          <w:sz w:val="44"/>
          <w:szCs w:val="44"/>
          <w:highlight w:val="none"/>
        </w:rPr>
        <w:t>年国民经济和社会发展</w:t>
      </w:r>
    </w:p>
    <w:p>
      <w:pPr>
        <w:spacing w:line="700" w:lineRule="exact"/>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rPr>
        <w:t>统计公报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highlight w:val="none"/>
        </w:rPr>
      </w:pPr>
    </w:p>
    <w:p>
      <w:pPr>
        <w:keepNext w:val="0"/>
        <w:keepLines w:val="0"/>
        <w:pageBreakBefore w:val="0"/>
        <w:widowControl w:val="0"/>
        <w:tabs>
          <w:tab w:val="left" w:pos="453"/>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一、气候环境、人口及行政区划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Fonts w:hint="default" w:ascii="Times New Roman" w:hAnsi="Times New Roman" w:eastAsia="方正仿宋_GBK" w:cs="Times New Roman"/>
          <w:color w:val="000000" w:themeColor="text1"/>
          <w:highlight w:val="none"/>
          <w14:textFill>
            <w14:solidFill>
              <w14:schemeClr w14:val="tx1"/>
            </w14:solidFill>
          </w14:textFill>
        </w:rPr>
        <w:t>2020年元江县平均气温25.1℃，全年极端最高气温41.6℃（5月8日），极端最低气温10.4℃（1月27日），年降雨量543.9毫米，年日照时数2428.1小时。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Fonts w:hint="default" w:ascii="Times New Roman" w:hAnsi="Times New Roman" w:eastAsia="方正仿宋_GBK" w:cs="Times New Roman"/>
          <w:highlight w:val="none"/>
        </w:rPr>
        <w:t>据公安部门统计，</w:t>
      </w:r>
      <w:r>
        <w:rPr>
          <w:rFonts w:hint="default" w:ascii="Times New Roman" w:hAnsi="Times New Roman" w:eastAsia="方正仿宋_GBK" w:cs="Times New Roman"/>
          <w:color w:val="000000" w:themeColor="text1"/>
          <w:highlight w:val="none"/>
          <w14:textFill>
            <w14:solidFill>
              <w14:schemeClr w14:val="tx1"/>
            </w14:solidFill>
          </w14:textFill>
        </w:rPr>
        <w:t>年末全县户籍总户数</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67900</w:t>
      </w:r>
      <w:r>
        <w:rPr>
          <w:rFonts w:hint="default" w:ascii="Times New Roman" w:hAnsi="Times New Roman" w:eastAsia="方正仿宋_GBK" w:cs="Times New Roman"/>
          <w:color w:val="000000" w:themeColor="text1"/>
          <w:highlight w:val="none"/>
          <w14:textFill>
            <w14:solidFill>
              <w14:schemeClr w14:val="tx1"/>
            </w14:solidFill>
          </w14:textFill>
        </w:rPr>
        <w:t>户，户籍总人口</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211701</w:t>
      </w:r>
      <w:r>
        <w:rPr>
          <w:rFonts w:hint="default" w:ascii="Times New Roman" w:hAnsi="Times New Roman" w:eastAsia="方正仿宋_GBK" w:cs="Times New Roman"/>
          <w:color w:val="000000" w:themeColor="text1"/>
          <w:highlight w:val="none"/>
          <w14:textFill>
            <w14:solidFill>
              <w14:schemeClr w14:val="tx1"/>
            </w14:solidFill>
          </w14:textFill>
        </w:rPr>
        <w:t>人，其中：少数民族人口</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174137</w:t>
      </w:r>
      <w:r>
        <w:rPr>
          <w:rFonts w:hint="default" w:ascii="Times New Roman" w:hAnsi="Times New Roman" w:eastAsia="方正仿宋_GBK" w:cs="Times New Roman"/>
          <w:color w:val="000000" w:themeColor="text1"/>
          <w:highlight w:val="none"/>
          <w14:textFill>
            <w14:solidFill>
              <w14:schemeClr w14:val="tx1"/>
            </w14:solidFill>
          </w14:textFill>
        </w:rPr>
        <w:t>人，占总人口的</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82.3</w:t>
      </w:r>
      <w:r>
        <w:rPr>
          <w:rFonts w:hint="default" w:ascii="Times New Roman" w:hAnsi="Times New Roman" w:eastAsia="方正仿宋_GBK" w:cs="Times New Roman"/>
          <w:color w:val="000000" w:themeColor="text1"/>
          <w:highlight w:val="none"/>
          <w14:textFill>
            <w14:solidFill>
              <w14:schemeClr w14:val="tx1"/>
            </w14:solidFill>
          </w14:textFill>
        </w:rPr>
        <w:t>%。从性别结构看，男性人口</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108956</w:t>
      </w:r>
      <w:r>
        <w:rPr>
          <w:rFonts w:hint="default" w:ascii="Times New Roman" w:hAnsi="Times New Roman" w:eastAsia="方正仿宋_GBK" w:cs="Times New Roman"/>
          <w:color w:val="000000" w:themeColor="text1"/>
          <w:highlight w:val="none"/>
          <w14:textFill>
            <w14:solidFill>
              <w14:schemeClr w14:val="tx1"/>
            </w14:solidFill>
          </w14:textFill>
        </w:rPr>
        <w:t>人，女性人口</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102745</w:t>
      </w:r>
      <w:r>
        <w:rPr>
          <w:rFonts w:hint="default" w:ascii="Times New Roman" w:hAnsi="Times New Roman" w:eastAsia="方正仿宋_GBK" w:cs="Times New Roman"/>
          <w:color w:val="000000" w:themeColor="text1"/>
          <w:highlight w:val="none"/>
          <w14:textFill>
            <w14:solidFill>
              <w14:schemeClr w14:val="tx1"/>
            </w14:solidFill>
          </w14:textFill>
        </w:rPr>
        <w:t>人，总人口性别比为</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106.05</w:t>
      </w:r>
      <w:r>
        <w:rPr>
          <w:rFonts w:hint="default" w:ascii="Times New Roman" w:hAnsi="Times New Roman" w:eastAsia="方正仿宋_GBK" w:cs="Times New Roman"/>
          <w:color w:val="000000" w:themeColor="text1"/>
          <w:highlight w:val="none"/>
          <w14:textFill>
            <w14:solidFill>
              <w14:schemeClr w14:val="tx1"/>
            </w14:solidFill>
          </w14:textFill>
        </w:rPr>
        <w:t>（以女性为100）。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000000" w:themeColor="text1"/>
          <w:kern w:val="0"/>
          <w:sz w:val="30"/>
          <w:szCs w:val="30"/>
          <w:highlight w:val="none"/>
          <w14:textFill>
            <w14:solidFill>
              <w14:schemeClr w14:val="tx1"/>
            </w14:solidFill>
          </w14:textFill>
        </w:rPr>
      </w:pPr>
      <w:r>
        <w:rPr>
          <w:rFonts w:hint="default" w:ascii="Times New Roman" w:hAnsi="Times New Roman" w:eastAsia="方正仿宋_GBK" w:cs="Times New Roman"/>
          <w:color w:val="000000" w:themeColor="text1"/>
          <w:highlight w:val="none"/>
          <w14:textFill>
            <w14:solidFill>
              <w14:schemeClr w14:val="tx1"/>
            </w14:solidFill>
          </w14:textFill>
        </w:rPr>
        <w:t>全县共辖5个乡、2个镇、3个街道，81个村（居）委会，其中：57个村民委员会、24个社区居民委员会。765个村（居）民小组，其中：539个村民小组、226个居民小组，684个自然村。</w:t>
      </w:r>
    </w:p>
    <w:p>
      <w:pPr>
        <w:spacing w:line="300" w:lineRule="exact"/>
        <w:jc w:val="center"/>
        <w:rPr>
          <w:rFonts w:hint="default" w:ascii="Times New Roman" w:hAnsi="Times New Roman" w:eastAsia="黑体" w:cs="Times New Roman"/>
          <w:color w:val="000000" w:themeColor="text1"/>
          <w:kern w:val="0"/>
          <w:sz w:val="28"/>
          <w:szCs w:val="28"/>
          <w:highlight w:val="none"/>
          <w14:textFill>
            <w14:solidFill>
              <w14:schemeClr w14:val="tx1"/>
            </w14:solidFill>
          </w14:textFill>
        </w:rPr>
      </w:pPr>
    </w:p>
    <w:p>
      <w:pPr>
        <w:spacing w:line="300" w:lineRule="exact"/>
        <w:jc w:val="center"/>
        <w:rPr>
          <w:rFonts w:hint="default" w:ascii="Times New Roman" w:hAnsi="Times New Roman" w:eastAsia="黑体" w:cs="Times New Roman"/>
          <w:color w:val="000000" w:themeColor="text1"/>
          <w:kern w:val="0"/>
          <w:sz w:val="28"/>
          <w:szCs w:val="28"/>
          <w:highlight w:val="none"/>
          <w14:textFill>
            <w14:solidFill>
              <w14:schemeClr w14:val="tx1"/>
            </w14:solidFill>
          </w14:textFill>
        </w:rPr>
      </w:pPr>
      <w:r>
        <w:rPr>
          <w:rFonts w:hint="default" w:ascii="Times New Roman" w:hAnsi="Times New Roman" w:eastAsia="黑体" w:cs="Times New Roman"/>
          <w:color w:val="000000" w:themeColor="text1"/>
          <w:kern w:val="0"/>
          <w:sz w:val="28"/>
          <w:szCs w:val="28"/>
          <w:highlight w:val="none"/>
          <w14:textFill>
            <w14:solidFill>
              <w14:schemeClr w14:val="tx1"/>
            </w14:solidFill>
          </w14:textFill>
        </w:rPr>
        <w:t>表1  20</w:t>
      </w:r>
      <w:r>
        <w:rPr>
          <w:rFonts w:hint="default" w:ascii="Times New Roman" w:hAnsi="Times New Roman" w:eastAsia="黑体" w:cs="Times New Roman"/>
          <w:color w:val="000000" w:themeColor="text1"/>
          <w:kern w:val="0"/>
          <w:sz w:val="28"/>
          <w:szCs w:val="28"/>
          <w:highlight w:val="none"/>
          <w:lang w:val="en-US" w:eastAsia="zh-CN"/>
          <w14:textFill>
            <w14:solidFill>
              <w14:schemeClr w14:val="tx1"/>
            </w14:solidFill>
          </w14:textFill>
        </w:rPr>
        <w:t>20</w:t>
      </w:r>
      <w:r>
        <w:rPr>
          <w:rFonts w:hint="default" w:ascii="Times New Roman" w:hAnsi="Times New Roman" w:eastAsia="黑体" w:cs="Times New Roman"/>
          <w:color w:val="000000" w:themeColor="text1"/>
          <w:kern w:val="0"/>
          <w:sz w:val="28"/>
          <w:szCs w:val="28"/>
          <w:highlight w:val="none"/>
          <w14:textFill>
            <w14:solidFill>
              <w14:schemeClr w14:val="tx1"/>
            </w14:solidFill>
          </w14:textFill>
        </w:rPr>
        <w:t>年年末人口及其构成</w:t>
      </w:r>
    </w:p>
    <w:tbl>
      <w:tblPr>
        <w:tblStyle w:val="6"/>
        <w:tblW w:w="8121" w:type="dxa"/>
        <w:jc w:val="center"/>
        <w:tblInd w:w="0" w:type="dxa"/>
        <w:tblLayout w:type="fixed"/>
        <w:tblCellMar>
          <w:top w:w="15" w:type="dxa"/>
          <w:left w:w="15" w:type="dxa"/>
          <w:bottom w:w="15" w:type="dxa"/>
          <w:right w:w="15" w:type="dxa"/>
        </w:tblCellMar>
      </w:tblPr>
      <w:tblGrid>
        <w:gridCol w:w="3315"/>
        <w:gridCol w:w="1200"/>
        <w:gridCol w:w="1759"/>
        <w:gridCol w:w="1847"/>
      </w:tblGrid>
      <w:tr>
        <w:tblPrEx>
          <w:tblLayout w:type="fixed"/>
          <w:tblCellMar>
            <w:top w:w="15" w:type="dxa"/>
            <w:left w:w="15" w:type="dxa"/>
            <w:bottom w:w="15" w:type="dxa"/>
            <w:right w:w="15" w:type="dxa"/>
          </w:tblCellMar>
        </w:tblPrEx>
        <w:trPr>
          <w:trHeight w:val="370" w:hRule="atLeast"/>
          <w:jc w:val="center"/>
        </w:trPr>
        <w:tc>
          <w:tcPr>
            <w:tcW w:w="3315" w:type="dxa"/>
            <w:tcBorders>
              <w:top w:val="single" w:color="000000" w:sz="12" w:space="0"/>
              <w:left w:val="nil"/>
              <w:bottom w:val="single" w:color="000000" w:sz="8" w:space="0"/>
              <w:right w:val="single" w:color="000000" w:sz="8" w:space="0"/>
            </w:tcBorders>
            <w:vAlign w:val="center"/>
          </w:tcPr>
          <w:p>
            <w:pPr>
              <w:widowControl/>
              <w:spacing w:line="300" w:lineRule="exact"/>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指  标</w:t>
            </w:r>
          </w:p>
        </w:tc>
        <w:tc>
          <w:tcPr>
            <w:tcW w:w="1200" w:type="dxa"/>
            <w:tcBorders>
              <w:top w:val="single" w:color="000000" w:sz="12" w:space="0"/>
              <w:left w:val="single" w:color="000000" w:sz="8" w:space="0"/>
              <w:bottom w:val="single" w:color="000000" w:sz="8" w:space="0"/>
              <w:right w:val="single" w:color="000000" w:sz="8" w:space="0"/>
            </w:tcBorders>
            <w:vAlign w:val="center"/>
          </w:tcPr>
          <w:p>
            <w:pPr>
              <w:widowControl/>
              <w:spacing w:line="300" w:lineRule="exact"/>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单  位</w:t>
            </w:r>
          </w:p>
        </w:tc>
        <w:tc>
          <w:tcPr>
            <w:tcW w:w="1759" w:type="dxa"/>
            <w:tcBorders>
              <w:top w:val="single" w:color="000000" w:sz="12" w:space="0"/>
              <w:left w:val="single" w:color="000000" w:sz="8" w:space="0"/>
              <w:bottom w:val="single" w:color="000000" w:sz="8" w:space="0"/>
              <w:right w:val="single" w:color="000000" w:sz="8" w:space="0"/>
            </w:tcBorders>
            <w:vAlign w:val="center"/>
          </w:tcPr>
          <w:p>
            <w:pPr>
              <w:widowControl/>
              <w:spacing w:line="300" w:lineRule="exact"/>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年末数</w:t>
            </w:r>
          </w:p>
        </w:tc>
        <w:tc>
          <w:tcPr>
            <w:tcW w:w="1847" w:type="dxa"/>
            <w:tcBorders>
              <w:top w:val="single" w:color="000000" w:sz="12" w:space="0"/>
              <w:left w:val="single" w:color="000000" w:sz="8" w:space="0"/>
              <w:bottom w:val="single" w:color="000000" w:sz="8" w:space="0"/>
            </w:tcBorders>
            <w:vAlign w:val="center"/>
          </w:tcPr>
          <w:p>
            <w:pPr>
              <w:widowControl/>
              <w:spacing w:line="300" w:lineRule="exact"/>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比重（%）</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户籍户数</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户</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67900</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100.0</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户籍人口</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211701</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100.0</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按主要民族分：哈尼族</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93316</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44.1</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彝  族</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46261</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21.9</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傣  族</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25744</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t>12.2</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按年龄分：0-17岁</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t>43311</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t>20.5</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18-34岁</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t>53676</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t>25.4</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nil"/>
              <w:right w:val="single" w:color="000000" w:sz="8" w:space="0"/>
            </w:tcBorders>
            <w:vAlign w:val="center"/>
          </w:tcPr>
          <w:p>
            <w:pPr>
              <w:widowControl/>
              <w:spacing w:line="300" w:lineRule="exact"/>
              <w:jc w:val="left"/>
              <w:textAlignment w:val="cente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35-59岁</w:t>
            </w:r>
          </w:p>
        </w:tc>
        <w:tc>
          <w:tcPr>
            <w:tcW w:w="1200"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人</w:t>
            </w:r>
          </w:p>
        </w:tc>
        <w:tc>
          <w:tcPr>
            <w:tcW w:w="1759" w:type="dxa"/>
            <w:tcBorders>
              <w:top w:val="nil"/>
              <w:left w:val="single" w:color="000000" w:sz="8" w:space="0"/>
              <w:bottom w:val="nil"/>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t>85102</w:t>
            </w:r>
          </w:p>
        </w:tc>
        <w:tc>
          <w:tcPr>
            <w:tcW w:w="1847" w:type="dxa"/>
            <w:tcBorders>
              <w:top w:val="nil"/>
              <w:left w:val="single" w:color="000000" w:sz="8" w:space="0"/>
              <w:bottom w:val="nil"/>
            </w:tcBorders>
            <w:vAlign w:val="center"/>
          </w:tcPr>
          <w:p>
            <w:pPr>
              <w:widowControl/>
              <w:jc w:val="center"/>
              <w:textAlignment w:val="cente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t>40.1</w:t>
            </w:r>
          </w:p>
        </w:tc>
      </w:tr>
      <w:tr>
        <w:tblPrEx>
          <w:tblLayout w:type="fixed"/>
          <w:tblCellMar>
            <w:top w:w="15" w:type="dxa"/>
            <w:left w:w="15" w:type="dxa"/>
            <w:bottom w:w="15" w:type="dxa"/>
            <w:right w:w="15" w:type="dxa"/>
          </w:tblCellMar>
        </w:tblPrEx>
        <w:trPr>
          <w:trHeight w:val="369" w:hRule="exact"/>
          <w:jc w:val="center"/>
        </w:trPr>
        <w:tc>
          <w:tcPr>
            <w:tcW w:w="3315" w:type="dxa"/>
            <w:tcBorders>
              <w:top w:val="nil"/>
              <w:left w:val="nil"/>
              <w:bottom w:val="single" w:color="000000" w:sz="12" w:space="0"/>
              <w:right w:val="single" w:color="000000" w:sz="8" w:space="0"/>
            </w:tcBorders>
            <w:vAlign w:val="center"/>
          </w:tcPr>
          <w:p>
            <w:pPr>
              <w:widowControl/>
              <w:spacing w:line="300" w:lineRule="exact"/>
              <w:jc w:val="left"/>
              <w:textAlignment w:val="cente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60岁及以上</w:t>
            </w:r>
          </w:p>
        </w:tc>
        <w:tc>
          <w:tcPr>
            <w:tcW w:w="1200" w:type="dxa"/>
            <w:tcBorders>
              <w:top w:val="nil"/>
              <w:left w:val="single" w:color="000000" w:sz="8" w:space="0"/>
              <w:bottom w:val="single" w:color="000000" w:sz="12" w:space="0"/>
              <w:right w:val="single" w:color="000000" w:sz="8" w:space="0"/>
            </w:tcBorders>
            <w:vAlign w:val="center"/>
          </w:tcPr>
          <w:p>
            <w:pPr>
              <w:widowControl/>
              <w:spacing w:line="300" w:lineRule="exact"/>
              <w:jc w:val="center"/>
              <w:textAlignment w:val="cente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人</w:t>
            </w:r>
          </w:p>
        </w:tc>
        <w:tc>
          <w:tcPr>
            <w:tcW w:w="1759" w:type="dxa"/>
            <w:tcBorders>
              <w:top w:val="nil"/>
              <w:left w:val="single" w:color="000000" w:sz="8" w:space="0"/>
              <w:bottom w:val="single" w:color="000000" w:sz="12" w:space="0"/>
              <w:right w:val="single" w:color="000000" w:sz="8" w:space="0"/>
            </w:tcBorders>
            <w:vAlign w:val="center"/>
          </w:tcPr>
          <w:p>
            <w:pPr>
              <w:widowControl/>
              <w:spacing w:line="300" w:lineRule="exact"/>
              <w:jc w:val="center"/>
              <w:textAlignment w:val="cente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t>29612</w:t>
            </w:r>
          </w:p>
        </w:tc>
        <w:tc>
          <w:tcPr>
            <w:tcW w:w="1847" w:type="dxa"/>
            <w:tcBorders>
              <w:top w:val="nil"/>
              <w:left w:val="single" w:color="000000" w:sz="8" w:space="0"/>
              <w:bottom w:val="single" w:color="000000" w:sz="12" w:space="0"/>
            </w:tcBorders>
            <w:vAlign w:val="center"/>
          </w:tcPr>
          <w:p>
            <w:pPr>
              <w:widowControl/>
              <w:jc w:val="center"/>
              <w:textAlignment w:val="cente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t>14.0</w:t>
            </w: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黑体_GBK" w:cs="Times New Roman"/>
          <w:color w:val="000000" w:themeColor="text1"/>
          <w:highlight w:val="none"/>
          <w14:textFill>
            <w14:solidFill>
              <w14:schemeClr w14:val="tx1"/>
            </w14:solidFill>
          </w14:textFill>
        </w:rPr>
      </w:pPr>
      <w:r>
        <w:rPr>
          <w:rFonts w:hint="default" w:ascii="Times New Roman" w:hAnsi="Times New Roman" w:eastAsia="方正黑体_GBK" w:cs="Times New Roman"/>
          <w:color w:val="000000" w:themeColor="text1"/>
          <w:highlight w:val="none"/>
          <w14:textFill>
            <w14:solidFill>
              <w14:schemeClr w14:val="tx1"/>
            </w14:solidFill>
          </w14:textFill>
        </w:rPr>
        <w:t>二、综合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Fonts w:hint="default" w:ascii="Times New Roman" w:hAnsi="Times New Roman" w:eastAsia="方正仿宋_GBK" w:cs="Times New Roman"/>
          <w:color w:val="000000" w:themeColor="text1"/>
          <w:highlight w:val="none"/>
          <w14:textFill>
            <w14:solidFill>
              <w14:schemeClr w14:val="tx1"/>
            </w14:solidFill>
          </w14:textFill>
        </w:rPr>
        <w:t>20</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20</w:t>
      </w:r>
      <w:r>
        <w:rPr>
          <w:rFonts w:hint="default" w:ascii="Times New Roman" w:hAnsi="Times New Roman" w:eastAsia="方正仿宋_GBK" w:cs="Times New Roman"/>
          <w:color w:val="000000" w:themeColor="text1"/>
          <w:highlight w:val="none"/>
          <w14:textFill>
            <w14:solidFill>
              <w14:schemeClr w14:val="tx1"/>
            </w14:solidFill>
          </w14:textFill>
        </w:rPr>
        <w:t>年，全县实现地区生产总值（GDP）</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1242585</w:t>
      </w:r>
      <w:r>
        <w:rPr>
          <w:rFonts w:hint="default" w:ascii="Times New Roman" w:hAnsi="Times New Roman" w:eastAsia="方正仿宋_GBK" w:cs="Times New Roman"/>
          <w:color w:val="000000" w:themeColor="text1"/>
          <w:highlight w:val="none"/>
          <w14:textFill>
            <w14:solidFill>
              <w14:schemeClr w14:val="tx1"/>
            </w14:solidFill>
          </w14:textFill>
        </w:rPr>
        <w:t>万元，按2015年可比价格计算，同比增长（下同）</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1.7</w:t>
      </w:r>
      <w:r>
        <w:rPr>
          <w:rFonts w:hint="default" w:ascii="Times New Roman" w:hAnsi="Times New Roman" w:eastAsia="方正仿宋_GBK" w:cs="Times New Roman"/>
          <w:color w:val="000000" w:themeColor="text1"/>
          <w:highlight w:val="none"/>
          <w14:textFill>
            <w14:solidFill>
              <w14:schemeClr w14:val="tx1"/>
            </w14:solidFill>
          </w14:textFill>
        </w:rPr>
        <w:t>%。其中，第一产业增加值</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313028</w:t>
      </w:r>
      <w:r>
        <w:rPr>
          <w:rFonts w:hint="default" w:ascii="Times New Roman" w:hAnsi="Times New Roman" w:eastAsia="方正仿宋_GBK" w:cs="Times New Roman"/>
          <w:color w:val="000000" w:themeColor="text1"/>
          <w:highlight w:val="none"/>
          <w14:textFill>
            <w14:solidFill>
              <w14:schemeClr w14:val="tx1"/>
            </w14:solidFill>
          </w14:textFill>
        </w:rPr>
        <w:t>万元，增长</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5.9</w:t>
      </w:r>
      <w:r>
        <w:rPr>
          <w:rFonts w:hint="default" w:ascii="Times New Roman" w:hAnsi="Times New Roman" w:eastAsia="方正仿宋_GBK" w:cs="Times New Roman"/>
          <w:color w:val="000000" w:themeColor="text1"/>
          <w:highlight w:val="none"/>
          <w14:textFill>
            <w14:solidFill>
              <w14:schemeClr w14:val="tx1"/>
            </w14:solidFill>
          </w14:textFill>
        </w:rPr>
        <w:t>%，拉动GDP增长</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1.3</w:t>
      </w:r>
      <w:r>
        <w:rPr>
          <w:rFonts w:hint="default" w:ascii="Times New Roman" w:hAnsi="Times New Roman" w:eastAsia="方正仿宋_GBK" w:cs="Times New Roman"/>
          <w:color w:val="000000" w:themeColor="text1"/>
          <w:highlight w:val="none"/>
          <w14:textFill>
            <w14:solidFill>
              <w14:schemeClr w14:val="tx1"/>
            </w14:solidFill>
          </w14:textFill>
        </w:rPr>
        <w:t>个百分点；第二产业增加值</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336035</w:t>
      </w:r>
      <w:r>
        <w:rPr>
          <w:rFonts w:hint="default" w:ascii="Times New Roman" w:hAnsi="Times New Roman" w:eastAsia="方正仿宋_GBK" w:cs="Times New Roman"/>
          <w:color w:val="000000" w:themeColor="text1"/>
          <w:highlight w:val="none"/>
          <w14:textFill>
            <w14:solidFill>
              <w14:schemeClr w14:val="tx1"/>
            </w14:solidFill>
          </w14:textFill>
        </w:rPr>
        <w:t>万元，</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下降</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3.9</w:t>
      </w:r>
      <w:r>
        <w:rPr>
          <w:rFonts w:hint="default" w:ascii="Times New Roman" w:hAnsi="Times New Roman" w:eastAsia="方正仿宋_GBK" w:cs="Times New Roman"/>
          <w:color w:val="000000" w:themeColor="text1"/>
          <w:highlight w:val="none"/>
          <w14:textFill>
            <w14:solidFill>
              <w14:schemeClr w14:val="tx1"/>
            </w14:solidFill>
          </w14:textFill>
        </w:rPr>
        <w:t>%，</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下拉</w:t>
      </w:r>
      <w:r>
        <w:rPr>
          <w:rFonts w:hint="default" w:ascii="Times New Roman" w:hAnsi="Times New Roman" w:eastAsia="方正仿宋_GBK" w:cs="Times New Roman"/>
          <w:color w:val="000000" w:themeColor="text1"/>
          <w:highlight w:val="none"/>
          <w14:textFill>
            <w14:solidFill>
              <w14:schemeClr w14:val="tx1"/>
            </w14:solidFill>
          </w14:textFill>
        </w:rPr>
        <w:t>GDP</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1.3</w:t>
      </w:r>
      <w:r>
        <w:rPr>
          <w:rFonts w:hint="default" w:ascii="Times New Roman" w:hAnsi="Times New Roman" w:eastAsia="方正仿宋_GBK" w:cs="Times New Roman"/>
          <w:color w:val="000000" w:themeColor="text1"/>
          <w:highlight w:val="none"/>
          <w14:textFill>
            <w14:solidFill>
              <w14:schemeClr w14:val="tx1"/>
            </w14:solidFill>
          </w14:textFill>
        </w:rPr>
        <w:t>个百分点。在第二产业中，工业增加值</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172280</w:t>
      </w:r>
      <w:r>
        <w:rPr>
          <w:rFonts w:hint="default" w:ascii="Times New Roman" w:hAnsi="Times New Roman" w:eastAsia="方正仿宋_GBK" w:cs="Times New Roman"/>
          <w:color w:val="000000" w:themeColor="text1"/>
          <w:highlight w:val="none"/>
          <w14:textFill>
            <w14:solidFill>
              <w14:schemeClr w14:val="tx1"/>
            </w14:solidFill>
          </w14:textFill>
        </w:rPr>
        <w:t>万元，</w:t>
      </w:r>
      <w:r>
        <w:rPr>
          <w:rFonts w:hint="default" w:ascii="Times New Roman" w:hAnsi="Times New Roman" w:eastAsia="方正仿宋_GBK" w:cs="Times New Roman"/>
          <w:color w:val="000000" w:themeColor="text1"/>
          <w:highlight w:val="none"/>
          <w:lang w:eastAsia="zh-CN"/>
          <w14:textFill>
            <w14:solidFill>
              <w14:schemeClr w14:val="tx1"/>
            </w14:solidFill>
          </w14:textFill>
        </w:rPr>
        <w:t>下降</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10.1</w:t>
      </w:r>
      <w:r>
        <w:rPr>
          <w:rFonts w:hint="default" w:ascii="Times New Roman" w:hAnsi="Times New Roman" w:eastAsia="方正仿宋_GBK" w:cs="Times New Roman"/>
          <w:color w:val="000000" w:themeColor="text1"/>
          <w:highlight w:val="none"/>
          <w14:textFill>
            <w14:solidFill>
              <w14:schemeClr w14:val="tx1"/>
            </w14:solidFill>
          </w14:textFill>
        </w:rPr>
        <w:t>%，建筑业增加值</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163933</w:t>
      </w:r>
      <w:r>
        <w:rPr>
          <w:rFonts w:hint="default" w:ascii="Times New Roman" w:hAnsi="Times New Roman" w:eastAsia="方正仿宋_GBK" w:cs="Times New Roman"/>
          <w:color w:val="000000" w:themeColor="text1"/>
          <w:highlight w:val="none"/>
          <w14:textFill>
            <w14:solidFill>
              <w14:schemeClr w14:val="tx1"/>
            </w14:solidFill>
          </w14:textFill>
        </w:rPr>
        <w:t>万元，增长</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6.2</w:t>
      </w:r>
      <w:r>
        <w:rPr>
          <w:rFonts w:hint="default" w:ascii="Times New Roman" w:hAnsi="Times New Roman" w:eastAsia="方正仿宋_GBK" w:cs="Times New Roman"/>
          <w:color w:val="000000" w:themeColor="text1"/>
          <w:highlight w:val="none"/>
          <w14:textFill>
            <w14:solidFill>
              <w14:schemeClr w14:val="tx1"/>
            </w14:solidFill>
          </w14:textFill>
        </w:rPr>
        <w:t>%；第三产业增加值</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593522</w:t>
      </w:r>
      <w:r>
        <w:rPr>
          <w:rFonts w:hint="default" w:ascii="Times New Roman" w:hAnsi="Times New Roman" w:eastAsia="方正仿宋_GBK" w:cs="Times New Roman"/>
          <w:color w:val="000000" w:themeColor="text1"/>
          <w:highlight w:val="none"/>
          <w14:textFill>
            <w14:solidFill>
              <w14:schemeClr w14:val="tx1"/>
            </w14:solidFill>
          </w14:textFill>
        </w:rPr>
        <w:t>万元，增长</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3.8</w:t>
      </w:r>
      <w:r>
        <w:rPr>
          <w:rFonts w:hint="default" w:ascii="Times New Roman" w:hAnsi="Times New Roman" w:eastAsia="方正仿宋_GBK" w:cs="Times New Roman"/>
          <w:color w:val="000000" w:themeColor="text1"/>
          <w:highlight w:val="none"/>
          <w14:textFill>
            <w14:solidFill>
              <w14:schemeClr w14:val="tx1"/>
            </w14:solidFill>
          </w14:textFill>
        </w:rPr>
        <w:t>%，拉动GDP增长</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1.7</w:t>
      </w:r>
      <w:r>
        <w:rPr>
          <w:rFonts w:hint="default" w:ascii="Times New Roman" w:hAnsi="Times New Roman" w:eastAsia="方正仿宋_GBK" w:cs="Times New Roman"/>
          <w:color w:val="000000" w:themeColor="text1"/>
          <w:highlight w:val="none"/>
          <w14:textFill>
            <w14:solidFill>
              <w14:schemeClr w14:val="tx1"/>
            </w14:solidFill>
          </w14:textFill>
        </w:rPr>
        <w:t>个百分点。三次产业在生产总值中的比重分别为</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25.2</w:t>
      </w:r>
      <w:r>
        <w:rPr>
          <w:rFonts w:hint="default" w:ascii="Times New Roman" w:hAnsi="Times New Roman" w:eastAsia="方正仿宋_GBK" w:cs="Times New Roman"/>
          <w:color w:val="000000" w:themeColor="text1"/>
          <w:highlight w:val="none"/>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27.0</w:t>
      </w:r>
      <w:r>
        <w:rPr>
          <w:rFonts w:hint="default" w:ascii="Times New Roman" w:hAnsi="Times New Roman" w:eastAsia="方正仿宋_GBK" w:cs="Times New Roman"/>
          <w:color w:val="000000" w:themeColor="text1"/>
          <w:highlight w:val="none"/>
          <w14:textFill>
            <w14:solidFill>
              <w14:schemeClr w14:val="tx1"/>
            </w14:solidFill>
          </w14:textFill>
        </w:rPr>
        <w:t>%、</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47.8</w:t>
      </w:r>
      <w:r>
        <w:rPr>
          <w:rFonts w:hint="default" w:ascii="Times New Roman" w:hAnsi="Times New Roman" w:eastAsia="方正仿宋_GBK" w:cs="Times New Roman"/>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全县非公有制经济增加值</w:t>
      </w:r>
      <w:r>
        <w:rPr>
          <w:rFonts w:hint="default" w:ascii="Times New Roman" w:hAnsi="Times New Roman" w:eastAsia="方正仿宋_GBK" w:cs="Times New Roman"/>
          <w:highlight w:val="none"/>
          <w:lang w:val="en-US" w:eastAsia="zh-CN"/>
        </w:rPr>
        <w:t>601286</w:t>
      </w:r>
      <w:r>
        <w:rPr>
          <w:rFonts w:hint="default" w:ascii="Times New Roman" w:hAnsi="Times New Roman" w:eastAsia="方正仿宋_GBK" w:cs="Times New Roman"/>
          <w:highlight w:val="none"/>
        </w:rPr>
        <w:t>万元，可比价增长</w:t>
      </w:r>
      <w:r>
        <w:rPr>
          <w:rFonts w:hint="default" w:ascii="Times New Roman" w:hAnsi="Times New Roman" w:eastAsia="方正仿宋_GBK" w:cs="Times New Roman"/>
          <w:highlight w:val="none"/>
          <w:lang w:val="en-US" w:eastAsia="zh-CN"/>
        </w:rPr>
        <w:t>0.1</w:t>
      </w:r>
      <w:r>
        <w:rPr>
          <w:rFonts w:hint="default" w:ascii="Times New Roman" w:hAnsi="Times New Roman" w:eastAsia="方正仿宋_GBK" w:cs="Times New Roman"/>
          <w:highlight w:val="none"/>
        </w:rPr>
        <w:t>%；非公有制经济增加值占GDP的比重为</w:t>
      </w:r>
      <w:r>
        <w:rPr>
          <w:rFonts w:hint="default" w:ascii="Times New Roman" w:hAnsi="Times New Roman" w:eastAsia="方正仿宋_GBK" w:cs="Times New Roman"/>
          <w:highlight w:val="none"/>
          <w:lang w:val="en-US" w:eastAsia="zh-CN"/>
        </w:rPr>
        <w:t>48.4</w:t>
      </w:r>
      <w:r>
        <w:rPr>
          <w:rFonts w:hint="default" w:ascii="Times New Roman" w:hAnsi="Times New Roman" w:eastAsia="方正仿宋_GBK" w:cs="Times New Roman"/>
          <w:highlight w:val="none"/>
        </w:rPr>
        <w:t>%，比上年下降</w:t>
      </w:r>
      <w:r>
        <w:rPr>
          <w:rFonts w:hint="default" w:ascii="Times New Roman" w:hAnsi="Times New Roman" w:eastAsia="方正仿宋_GBK" w:cs="Times New Roman"/>
          <w:highlight w:val="none"/>
          <w:lang w:val="en-US" w:eastAsia="zh-CN"/>
        </w:rPr>
        <w:t>2</w:t>
      </w:r>
      <w:r>
        <w:rPr>
          <w:rFonts w:hint="default" w:ascii="Times New Roman" w:hAnsi="Times New Roman" w:eastAsia="方正仿宋_GBK" w:cs="Times New Roman"/>
          <w:highlight w:val="none"/>
        </w:rPr>
        <w:t>个百分点。</w:t>
      </w:r>
    </w:p>
    <w:p>
      <w:pPr>
        <w:spacing w:line="520" w:lineRule="exact"/>
        <w:ind w:firstLine="640" w:firstLineChars="200"/>
        <w:rPr>
          <w:rFonts w:hint="default" w:ascii="Times New Roman" w:hAnsi="Times New Roman" w:eastAsia="方正仿宋_GBK" w:cs="Times New Roman"/>
          <w:highlight w:val="none"/>
        </w:rPr>
      </w:pPr>
      <w:r>
        <w:rPr>
          <w:rFonts w:hint="default" w:ascii="Times New Roman" w:hAnsi="Times New Roman" w:cs="Times New Roman"/>
          <w:highlight w:val="none"/>
        </w:rPr>
        <w:drawing>
          <wp:anchor distT="0" distB="0" distL="114300" distR="114300" simplePos="0" relativeHeight="251658240" behindDoc="0" locked="0" layoutInCell="1" allowOverlap="1">
            <wp:simplePos x="0" y="0"/>
            <wp:positionH relativeFrom="column">
              <wp:posOffset>659130</wp:posOffset>
            </wp:positionH>
            <wp:positionV relativeFrom="paragraph">
              <wp:posOffset>20955</wp:posOffset>
            </wp:positionV>
            <wp:extent cx="4608195" cy="3383915"/>
            <wp:effectExtent l="4445" t="4445" r="16510" b="2159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r>
        <w:rPr>
          <w:rFonts w:hint="default" w:ascii="Times New Roman" w:hAnsi="Times New Roman" w:cs="Times New Roman"/>
          <w:highlight w:val="none"/>
        </w:rPr>
        <w:drawing>
          <wp:anchor distT="0" distB="0" distL="114300" distR="114300" simplePos="0" relativeHeight="251664384" behindDoc="0" locked="0" layoutInCell="1" allowOverlap="1">
            <wp:simplePos x="0" y="0"/>
            <wp:positionH relativeFrom="column">
              <wp:posOffset>563880</wp:posOffset>
            </wp:positionH>
            <wp:positionV relativeFrom="paragraph">
              <wp:posOffset>122555</wp:posOffset>
            </wp:positionV>
            <wp:extent cx="4608195" cy="3203575"/>
            <wp:effectExtent l="4445" t="4445" r="16510" b="1143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仿宋_GBK" w:cs="Times New Roman"/>
          <w:highlight w:val="none"/>
        </w:rPr>
      </w:pPr>
    </w:p>
    <w:p>
      <w:pPr>
        <w:spacing w:line="520" w:lineRule="exact"/>
        <w:ind w:firstLine="640" w:firstLineChars="200"/>
        <w:rPr>
          <w:rFonts w:hint="default" w:ascii="Times New Roman" w:hAnsi="Times New Roman" w:eastAsia="方正黑体_GBK" w:cs="Times New Roman"/>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黑体_GBK" w:cs="Times New Roman"/>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黑体_GBK"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三、农业、农村经济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年全县实现农林牧渔业总产值（现价）</w:t>
      </w:r>
      <w:r>
        <w:rPr>
          <w:rFonts w:hint="default" w:ascii="Times New Roman" w:hAnsi="Times New Roman" w:eastAsia="方正仿宋_GBK" w:cs="Times New Roman"/>
          <w:highlight w:val="none"/>
          <w:lang w:val="en-US" w:eastAsia="zh-CN"/>
        </w:rPr>
        <w:t>522556</w:t>
      </w:r>
      <w:r>
        <w:rPr>
          <w:rFonts w:hint="default" w:ascii="Times New Roman" w:hAnsi="Times New Roman" w:eastAsia="方正仿宋_GBK" w:cs="Times New Roman"/>
          <w:highlight w:val="none"/>
        </w:rPr>
        <w:t>万元，按可比价格计算，增长</w:t>
      </w:r>
      <w:r>
        <w:rPr>
          <w:rFonts w:hint="default" w:ascii="Times New Roman" w:hAnsi="Times New Roman" w:eastAsia="方正仿宋_GBK" w:cs="Times New Roman"/>
          <w:highlight w:val="none"/>
          <w:lang w:val="en-US" w:eastAsia="zh-CN"/>
        </w:rPr>
        <w:t>6</w:t>
      </w:r>
      <w:r>
        <w:rPr>
          <w:rFonts w:hint="default" w:ascii="Times New Roman" w:hAnsi="Times New Roman" w:eastAsia="方正仿宋_GBK" w:cs="Times New Roman"/>
          <w:highlight w:val="none"/>
        </w:rPr>
        <w:t>%，其中：农业产值</w:t>
      </w:r>
      <w:r>
        <w:rPr>
          <w:rFonts w:hint="default" w:ascii="Times New Roman" w:hAnsi="Times New Roman" w:eastAsia="方正仿宋_GBK" w:cs="Times New Roman"/>
          <w:highlight w:val="none"/>
          <w:lang w:val="en-US" w:eastAsia="zh-CN"/>
        </w:rPr>
        <w:t>442323</w:t>
      </w:r>
      <w:r>
        <w:rPr>
          <w:rFonts w:hint="default" w:ascii="Times New Roman" w:hAnsi="Times New Roman" w:eastAsia="方正仿宋_GBK" w:cs="Times New Roman"/>
          <w:highlight w:val="none"/>
        </w:rPr>
        <w:t>万元，增长</w:t>
      </w:r>
      <w:r>
        <w:rPr>
          <w:rFonts w:hint="default" w:ascii="Times New Roman" w:hAnsi="Times New Roman" w:eastAsia="方正仿宋_GBK" w:cs="Times New Roman"/>
          <w:highlight w:val="none"/>
          <w:lang w:val="en-US" w:eastAsia="zh-CN"/>
        </w:rPr>
        <w:t>5.7</w:t>
      </w:r>
      <w:r>
        <w:rPr>
          <w:rFonts w:hint="default" w:ascii="Times New Roman" w:hAnsi="Times New Roman" w:eastAsia="方正仿宋_GBK" w:cs="Times New Roman"/>
          <w:highlight w:val="none"/>
        </w:rPr>
        <w:t>%；林业产值</w:t>
      </w:r>
      <w:r>
        <w:rPr>
          <w:rFonts w:hint="default" w:ascii="Times New Roman" w:hAnsi="Times New Roman" w:eastAsia="方正仿宋_GBK" w:cs="Times New Roman"/>
          <w:highlight w:val="none"/>
          <w:lang w:val="en-US" w:eastAsia="zh-CN"/>
        </w:rPr>
        <w:t>12583</w:t>
      </w:r>
      <w:r>
        <w:rPr>
          <w:rFonts w:hint="default" w:ascii="Times New Roman" w:hAnsi="Times New Roman" w:eastAsia="方正仿宋_GBK" w:cs="Times New Roman"/>
          <w:highlight w:val="none"/>
        </w:rPr>
        <w:t>万元，增长</w:t>
      </w:r>
      <w:r>
        <w:rPr>
          <w:rFonts w:hint="default" w:ascii="Times New Roman" w:hAnsi="Times New Roman" w:eastAsia="方正仿宋_GBK" w:cs="Times New Roman"/>
          <w:highlight w:val="none"/>
          <w:lang w:val="en-US" w:eastAsia="zh-CN"/>
        </w:rPr>
        <w:t>4.4</w:t>
      </w:r>
      <w:r>
        <w:rPr>
          <w:rFonts w:hint="default" w:ascii="Times New Roman" w:hAnsi="Times New Roman" w:eastAsia="方正仿宋_GBK" w:cs="Times New Roman"/>
          <w:highlight w:val="none"/>
        </w:rPr>
        <w:t>%；牧业产值</w:t>
      </w:r>
      <w:r>
        <w:rPr>
          <w:rFonts w:hint="default" w:ascii="Times New Roman" w:hAnsi="Times New Roman" w:eastAsia="方正仿宋_GBK" w:cs="Times New Roman"/>
          <w:highlight w:val="none"/>
          <w:lang w:val="en-US" w:eastAsia="zh-CN"/>
        </w:rPr>
        <w:t>56929</w:t>
      </w:r>
      <w:r>
        <w:rPr>
          <w:rFonts w:hint="default" w:ascii="Times New Roman" w:hAnsi="Times New Roman" w:eastAsia="方正仿宋_GBK" w:cs="Times New Roman"/>
          <w:highlight w:val="none"/>
        </w:rPr>
        <w:t>万元，增长</w:t>
      </w:r>
      <w:r>
        <w:rPr>
          <w:rFonts w:hint="default" w:ascii="Times New Roman" w:hAnsi="Times New Roman" w:eastAsia="方正仿宋_GBK" w:cs="Times New Roman"/>
          <w:highlight w:val="none"/>
          <w:lang w:val="en-US" w:eastAsia="zh-CN"/>
        </w:rPr>
        <w:t>8.5</w:t>
      </w:r>
      <w:r>
        <w:rPr>
          <w:rFonts w:hint="default" w:ascii="Times New Roman" w:hAnsi="Times New Roman" w:eastAsia="方正仿宋_GBK" w:cs="Times New Roman"/>
          <w:highlight w:val="none"/>
        </w:rPr>
        <w:t>%；渔业产值</w:t>
      </w:r>
      <w:r>
        <w:rPr>
          <w:rFonts w:hint="default" w:ascii="Times New Roman" w:hAnsi="Times New Roman" w:eastAsia="方正仿宋_GBK" w:cs="Times New Roman"/>
          <w:highlight w:val="none"/>
          <w:lang w:val="en-US" w:eastAsia="zh-CN"/>
        </w:rPr>
        <w:t>2952</w:t>
      </w:r>
      <w:r>
        <w:rPr>
          <w:rFonts w:hint="default" w:ascii="Times New Roman" w:hAnsi="Times New Roman" w:eastAsia="方正仿宋_GBK" w:cs="Times New Roman"/>
          <w:highlight w:val="none"/>
        </w:rPr>
        <w:t>万元，增长</w:t>
      </w:r>
      <w:r>
        <w:rPr>
          <w:rFonts w:hint="default" w:ascii="Times New Roman" w:hAnsi="Times New Roman" w:eastAsia="方正仿宋_GBK" w:cs="Times New Roman"/>
          <w:highlight w:val="none"/>
          <w:lang w:val="en-US" w:eastAsia="zh-CN"/>
        </w:rPr>
        <w:t>5.3</w:t>
      </w:r>
      <w:r>
        <w:rPr>
          <w:rFonts w:hint="default" w:ascii="Times New Roman" w:hAnsi="Times New Roman" w:eastAsia="方正仿宋_GBK" w:cs="Times New Roman"/>
          <w:highlight w:val="none"/>
        </w:rPr>
        <w:t>%；农林牧渔服务业产值</w:t>
      </w:r>
      <w:r>
        <w:rPr>
          <w:rFonts w:hint="default" w:ascii="Times New Roman" w:hAnsi="Times New Roman" w:eastAsia="方正仿宋_GBK" w:cs="Times New Roman"/>
          <w:highlight w:val="none"/>
          <w:lang w:val="en-US" w:eastAsia="zh-CN"/>
        </w:rPr>
        <w:t>7769</w:t>
      </w:r>
      <w:r>
        <w:rPr>
          <w:rFonts w:hint="default" w:ascii="Times New Roman" w:hAnsi="Times New Roman" w:eastAsia="方正仿宋_GBK" w:cs="Times New Roman"/>
          <w:highlight w:val="none"/>
        </w:rPr>
        <w:t>万元，增长</w:t>
      </w:r>
      <w:r>
        <w:rPr>
          <w:rFonts w:hint="default" w:ascii="Times New Roman" w:hAnsi="Times New Roman" w:eastAsia="方正仿宋_GBK" w:cs="Times New Roman"/>
          <w:highlight w:val="none"/>
          <w:lang w:val="en-US" w:eastAsia="zh-CN"/>
        </w:rPr>
        <w:t>3.8</w:t>
      </w:r>
      <w:r>
        <w:rPr>
          <w:rFonts w:hint="default" w:ascii="Times New Roman" w:hAnsi="Times New Roman" w:eastAsia="方正仿宋_GBK" w:cs="Times New Roman"/>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全年农作物总播种面积</w:t>
      </w:r>
      <w:r>
        <w:rPr>
          <w:rFonts w:hint="default" w:ascii="Times New Roman" w:hAnsi="Times New Roman" w:eastAsia="方正仿宋_GBK" w:cs="Times New Roman"/>
          <w:highlight w:val="none"/>
          <w:lang w:val="en-US" w:eastAsia="zh-CN"/>
        </w:rPr>
        <w:t>486048</w:t>
      </w:r>
      <w:r>
        <w:rPr>
          <w:rFonts w:hint="default" w:ascii="Times New Roman" w:hAnsi="Times New Roman" w:eastAsia="方正仿宋_GBK" w:cs="Times New Roman"/>
          <w:highlight w:val="none"/>
        </w:rPr>
        <w:t>亩，复种指数</w:t>
      </w:r>
      <w:r>
        <w:rPr>
          <w:rFonts w:hint="default" w:ascii="Times New Roman" w:hAnsi="Times New Roman" w:eastAsia="方正仿宋_GBK" w:cs="Times New Roman"/>
          <w:highlight w:val="none"/>
          <w:lang w:val="en-US" w:eastAsia="zh-CN"/>
        </w:rPr>
        <w:t>144</w:t>
      </w:r>
      <w:r>
        <w:rPr>
          <w:rFonts w:hint="default" w:ascii="Times New Roman" w:hAnsi="Times New Roman" w:eastAsia="方正仿宋_GBK" w:cs="Times New Roman"/>
          <w:highlight w:val="none"/>
        </w:rPr>
        <w:t>%。全年粮食播种面积</w:t>
      </w:r>
      <w:r>
        <w:rPr>
          <w:rFonts w:hint="default" w:ascii="Times New Roman" w:hAnsi="Times New Roman" w:eastAsia="方正仿宋_GBK" w:cs="Times New Roman"/>
          <w:highlight w:val="none"/>
          <w:lang w:val="en-US" w:eastAsia="zh-CN"/>
        </w:rPr>
        <w:t>283745</w:t>
      </w:r>
      <w:r>
        <w:rPr>
          <w:rFonts w:hint="default" w:ascii="Times New Roman" w:hAnsi="Times New Roman" w:eastAsia="方正仿宋_GBK" w:cs="Times New Roman"/>
          <w:highlight w:val="none"/>
        </w:rPr>
        <w:t>亩，占总播种面积的</w:t>
      </w:r>
      <w:r>
        <w:rPr>
          <w:rFonts w:hint="default" w:ascii="Times New Roman" w:hAnsi="Times New Roman" w:eastAsia="方正仿宋_GBK" w:cs="Times New Roman"/>
          <w:highlight w:val="none"/>
          <w:lang w:val="en-US" w:eastAsia="zh-CN"/>
        </w:rPr>
        <w:t>58.4</w:t>
      </w:r>
      <w:r>
        <w:rPr>
          <w:rFonts w:hint="default" w:ascii="Times New Roman" w:hAnsi="Times New Roman" w:eastAsia="方正仿宋_GBK" w:cs="Times New Roman"/>
          <w:highlight w:val="none"/>
        </w:rPr>
        <w:t>%，比重比上年提高</w:t>
      </w:r>
      <w:r>
        <w:rPr>
          <w:rFonts w:hint="default" w:ascii="Times New Roman" w:hAnsi="Times New Roman" w:eastAsia="方正仿宋_GBK" w:cs="Times New Roman"/>
          <w:highlight w:val="none"/>
          <w:lang w:val="en-US" w:eastAsia="zh-CN"/>
        </w:rPr>
        <w:t>0.9</w:t>
      </w:r>
      <w:r>
        <w:rPr>
          <w:rFonts w:hint="default" w:ascii="Times New Roman" w:hAnsi="Times New Roman" w:eastAsia="方正仿宋_GBK" w:cs="Times New Roman"/>
          <w:highlight w:val="none"/>
        </w:rPr>
        <w:t>个百分点；经济作物面积</w:t>
      </w:r>
      <w:r>
        <w:rPr>
          <w:rFonts w:hint="default" w:ascii="Times New Roman" w:hAnsi="Times New Roman" w:eastAsia="方正仿宋_GBK" w:cs="Times New Roman"/>
          <w:highlight w:val="none"/>
          <w:lang w:val="en-US" w:eastAsia="zh-CN"/>
        </w:rPr>
        <w:t>202303</w:t>
      </w:r>
      <w:r>
        <w:rPr>
          <w:rFonts w:hint="default" w:ascii="Times New Roman" w:hAnsi="Times New Roman" w:eastAsia="方正仿宋_GBK" w:cs="Times New Roman"/>
          <w:highlight w:val="none"/>
        </w:rPr>
        <w:t>亩</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占总播种面积的</w:t>
      </w:r>
      <w:r>
        <w:rPr>
          <w:rFonts w:hint="default" w:ascii="Times New Roman" w:hAnsi="Times New Roman" w:eastAsia="方正仿宋_GBK" w:cs="Times New Roman"/>
          <w:highlight w:val="none"/>
          <w:lang w:val="en-US" w:eastAsia="zh-CN"/>
        </w:rPr>
        <w:t>41.6</w:t>
      </w:r>
      <w:r>
        <w:rPr>
          <w:rFonts w:hint="default" w:ascii="Times New Roman" w:hAnsi="Times New Roman" w:eastAsia="方正仿宋_GBK" w:cs="Times New Roman"/>
          <w:highlight w:val="none"/>
        </w:rPr>
        <w:t>%，比重比上年下降</w:t>
      </w:r>
      <w:r>
        <w:rPr>
          <w:rFonts w:hint="default" w:ascii="Times New Roman" w:hAnsi="Times New Roman" w:eastAsia="方正仿宋_GBK" w:cs="Times New Roman"/>
          <w:highlight w:val="none"/>
          <w:lang w:val="en-US" w:eastAsia="zh-CN"/>
        </w:rPr>
        <w:t>0.9</w:t>
      </w:r>
      <w:r>
        <w:rPr>
          <w:rFonts w:hint="default" w:ascii="Times New Roman" w:hAnsi="Times New Roman" w:eastAsia="方正仿宋_GBK" w:cs="Times New Roman"/>
          <w:highlight w:val="none"/>
        </w:rPr>
        <w:t>个百分点。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全年芦荟鲜叶产量</w:t>
      </w:r>
      <w:r>
        <w:rPr>
          <w:rFonts w:hint="default" w:ascii="Times New Roman" w:hAnsi="Times New Roman" w:eastAsia="方正仿宋_GBK" w:cs="Times New Roman"/>
          <w:highlight w:val="none"/>
          <w:lang w:val="en-US" w:eastAsia="zh-CN"/>
        </w:rPr>
        <w:t>29800</w:t>
      </w:r>
      <w:r>
        <w:rPr>
          <w:rFonts w:hint="default" w:ascii="Times New Roman" w:hAnsi="Times New Roman" w:eastAsia="方正仿宋_GBK" w:cs="Times New Roman"/>
          <w:highlight w:val="none"/>
        </w:rPr>
        <w:t>吨，下降</w:t>
      </w:r>
      <w:r>
        <w:rPr>
          <w:rFonts w:hint="default" w:ascii="Times New Roman" w:hAnsi="Times New Roman" w:eastAsia="方正仿宋_GBK" w:cs="Times New Roman"/>
          <w:highlight w:val="none"/>
          <w:lang w:val="en-US" w:eastAsia="zh-CN"/>
        </w:rPr>
        <w:t>0.23</w:t>
      </w:r>
      <w:r>
        <w:rPr>
          <w:rFonts w:hint="default" w:ascii="Times New Roman" w:hAnsi="Times New Roman" w:eastAsia="方正仿宋_GBK" w:cs="Times New Roman"/>
          <w:highlight w:val="none"/>
        </w:rPr>
        <w:t>%；实现农业产值</w:t>
      </w:r>
      <w:r>
        <w:rPr>
          <w:rFonts w:hint="default" w:ascii="Times New Roman" w:hAnsi="Times New Roman" w:eastAsia="方正仿宋_GBK" w:cs="Times New Roman"/>
          <w:highlight w:val="none"/>
          <w:lang w:val="en-US" w:eastAsia="zh-CN"/>
        </w:rPr>
        <w:t>1788</w:t>
      </w:r>
      <w:r>
        <w:rPr>
          <w:rFonts w:hint="default" w:ascii="Times New Roman" w:hAnsi="Times New Roman" w:eastAsia="方正仿宋_GBK" w:cs="Times New Roman"/>
          <w:highlight w:val="none"/>
        </w:rPr>
        <w:t>万元，下降</w:t>
      </w:r>
      <w:r>
        <w:rPr>
          <w:rFonts w:hint="default" w:ascii="Times New Roman" w:hAnsi="Times New Roman" w:eastAsia="方正仿宋_GBK" w:cs="Times New Roman"/>
          <w:highlight w:val="none"/>
          <w:lang w:val="en-US" w:eastAsia="zh-CN"/>
        </w:rPr>
        <w:t>0.23</w:t>
      </w:r>
      <w:r>
        <w:rPr>
          <w:rFonts w:hint="default" w:ascii="Times New Roman" w:hAnsi="Times New Roman" w:eastAsia="方正仿宋_GBK" w:cs="Times New Roman"/>
          <w:highlight w:val="none"/>
        </w:rPr>
        <w:t>%；实现工业产值</w:t>
      </w:r>
      <w:r>
        <w:rPr>
          <w:rFonts w:hint="default" w:ascii="Times New Roman" w:hAnsi="Times New Roman" w:eastAsia="方正仿宋_GBK" w:cs="Times New Roman"/>
          <w:highlight w:val="none"/>
          <w:lang w:val="en-US" w:eastAsia="zh-CN"/>
        </w:rPr>
        <w:t>18901.9</w:t>
      </w:r>
      <w:r>
        <w:rPr>
          <w:rFonts w:hint="default" w:ascii="Times New Roman" w:hAnsi="Times New Roman" w:eastAsia="方正仿宋_GBK" w:cs="Times New Roman"/>
          <w:highlight w:val="none"/>
        </w:rPr>
        <w:t>万元，</w:t>
      </w:r>
      <w:r>
        <w:rPr>
          <w:rFonts w:hint="default" w:ascii="Times New Roman" w:hAnsi="Times New Roman" w:eastAsia="方正仿宋_GBK" w:cs="Times New Roman"/>
          <w:highlight w:val="none"/>
          <w:lang w:val="en-US" w:eastAsia="zh-CN"/>
        </w:rPr>
        <w:t>下降37.5</w:t>
      </w:r>
      <w:r>
        <w:rPr>
          <w:rFonts w:hint="default" w:ascii="Times New Roman" w:hAnsi="Times New Roman" w:eastAsia="方正仿宋_GBK" w:cs="Times New Roman"/>
          <w:highlight w:val="none"/>
        </w:rPr>
        <w:t>%。茉莉花鲜花交易量达</w:t>
      </w:r>
      <w:r>
        <w:rPr>
          <w:rFonts w:hint="default" w:ascii="Times New Roman" w:hAnsi="Times New Roman" w:eastAsia="方正仿宋_GBK" w:cs="Times New Roman"/>
          <w:highlight w:val="none"/>
          <w:lang w:val="en-US" w:eastAsia="zh-CN"/>
        </w:rPr>
        <w:t>4438.16</w:t>
      </w:r>
      <w:r>
        <w:rPr>
          <w:rFonts w:hint="default" w:ascii="Times New Roman" w:hAnsi="Times New Roman" w:eastAsia="方正仿宋_GBK" w:cs="Times New Roman"/>
          <w:highlight w:val="none"/>
        </w:rPr>
        <w:t>吨，减少</w:t>
      </w:r>
      <w:r>
        <w:rPr>
          <w:rFonts w:hint="default" w:ascii="Times New Roman" w:hAnsi="Times New Roman" w:eastAsia="方正仿宋_GBK" w:cs="Times New Roman"/>
          <w:highlight w:val="none"/>
          <w:lang w:val="en-US" w:eastAsia="zh-CN"/>
        </w:rPr>
        <w:t>28.4</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实现产值</w:t>
      </w:r>
      <w:r>
        <w:rPr>
          <w:rFonts w:hint="default" w:ascii="Times New Roman" w:hAnsi="Times New Roman" w:eastAsia="方正仿宋_GBK" w:cs="Times New Roman"/>
          <w:highlight w:val="none"/>
          <w:lang w:val="en-US" w:eastAsia="zh-CN"/>
        </w:rPr>
        <w:t>10340</w:t>
      </w:r>
      <w:r>
        <w:rPr>
          <w:rFonts w:hint="default" w:ascii="Times New Roman" w:hAnsi="Times New Roman" w:eastAsia="方正仿宋_GBK" w:cs="Times New Roman"/>
          <w:highlight w:val="none"/>
        </w:rPr>
        <w:t>万元，</w:t>
      </w:r>
      <w:r>
        <w:rPr>
          <w:rFonts w:hint="default" w:ascii="Times New Roman" w:hAnsi="Times New Roman" w:eastAsia="方正仿宋_GBK" w:cs="Times New Roman"/>
          <w:highlight w:val="none"/>
          <w:lang w:eastAsia="zh-CN"/>
        </w:rPr>
        <w:t>下降</w:t>
      </w:r>
      <w:r>
        <w:rPr>
          <w:rFonts w:hint="default" w:ascii="Times New Roman" w:hAnsi="Times New Roman" w:eastAsia="方正仿宋_GBK" w:cs="Times New Roman"/>
          <w:highlight w:val="none"/>
          <w:lang w:val="en-US" w:eastAsia="zh-CN"/>
        </w:rPr>
        <w:t xml:space="preserve">42.7 </w:t>
      </w:r>
      <w:r>
        <w:rPr>
          <w:rFonts w:hint="default" w:ascii="Times New Roman" w:hAnsi="Times New Roman" w:eastAsia="方正仿宋_GBK" w:cs="Times New Roman"/>
          <w:highlight w:val="none"/>
        </w:rPr>
        <w:t>%；种植花卉</w:t>
      </w:r>
      <w:r>
        <w:rPr>
          <w:rFonts w:hint="default" w:ascii="Times New Roman" w:hAnsi="Times New Roman" w:eastAsia="方正仿宋_GBK" w:cs="Times New Roman"/>
          <w:highlight w:val="none"/>
          <w:lang w:val="en-US" w:eastAsia="zh-CN"/>
        </w:rPr>
        <w:t>10101</w:t>
      </w:r>
      <w:r>
        <w:rPr>
          <w:rFonts w:hint="default" w:ascii="Times New Roman" w:hAnsi="Times New Roman" w:eastAsia="方正仿宋_GBK" w:cs="Times New Roman"/>
          <w:highlight w:val="none"/>
        </w:rPr>
        <w:t>亩，实现花卉产值</w:t>
      </w:r>
      <w:r>
        <w:rPr>
          <w:rFonts w:hint="default" w:ascii="Times New Roman" w:hAnsi="Times New Roman" w:eastAsia="方正仿宋_GBK" w:cs="Times New Roman"/>
          <w:highlight w:val="none"/>
          <w:lang w:val="en-US" w:eastAsia="zh-CN"/>
        </w:rPr>
        <w:t>33493</w:t>
      </w:r>
      <w:r>
        <w:rPr>
          <w:rFonts w:hint="default" w:ascii="Times New Roman" w:hAnsi="Times New Roman" w:eastAsia="方正仿宋_GBK" w:cs="Times New Roman"/>
          <w:highlight w:val="none"/>
        </w:rPr>
        <w:t>万元，增长</w:t>
      </w:r>
      <w:r>
        <w:rPr>
          <w:rFonts w:hint="default" w:ascii="Times New Roman" w:hAnsi="Times New Roman" w:eastAsia="方正仿宋_GBK" w:cs="Times New Roman"/>
          <w:highlight w:val="none"/>
          <w:lang w:val="en-US" w:eastAsia="zh-CN"/>
        </w:rPr>
        <w:t>76.9</w:t>
      </w:r>
      <w:r>
        <w:rPr>
          <w:rFonts w:hint="default" w:ascii="Times New Roman" w:hAnsi="Times New Roman" w:eastAsia="方正仿宋_GBK" w:cs="Times New Roman"/>
          <w:highlight w:val="none"/>
        </w:rPr>
        <w:t>%。青枣产量</w:t>
      </w:r>
      <w:r>
        <w:rPr>
          <w:rFonts w:hint="default" w:ascii="Times New Roman" w:hAnsi="Times New Roman" w:eastAsia="方正仿宋_GBK" w:cs="Times New Roman"/>
          <w:highlight w:val="none"/>
          <w:lang w:val="en-US" w:eastAsia="zh-CN"/>
        </w:rPr>
        <w:t>50326.7</w:t>
      </w:r>
      <w:r>
        <w:rPr>
          <w:rFonts w:hint="default" w:ascii="Times New Roman" w:hAnsi="Times New Roman" w:eastAsia="方正仿宋_GBK" w:cs="Times New Roman"/>
          <w:highlight w:val="none"/>
        </w:rPr>
        <w:t>吨，实现产值</w:t>
      </w:r>
      <w:r>
        <w:rPr>
          <w:rFonts w:hint="default" w:ascii="Times New Roman" w:hAnsi="Times New Roman" w:eastAsia="方正仿宋_GBK" w:cs="Times New Roman"/>
          <w:highlight w:val="none"/>
          <w:lang w:val="en-US" w:eastAsia="zh-CN"/>
        </w:rPr>
        <w:t>31418</w:t>
      </w:r>
      <w:r>
        <w:rPr>
          <w:rFonts w:hint="default" w:ascii="Times New Roman" w:hAnsi="Times New Roman" w:eastAsia="方正仿宋_GBK" w:cs="Times New Roman"/>
          <w:highlight w:val="none"/>
        </w:rPr>
        <w:t>万元；香蕉产量</w:t>
      </w:r>
      <w:r>
        <w:rPr>
          <w:rFonts w:hint="default" w:ascii="Times New Roman" w:hAnsi="Times New Roman" w:eastAsia="方正仿宋_GBK" w:cs="Times New Roman"/>
          <w:highlight w:val="none"/>
          <w:lang w:val="en-US" w:eastAsia="zh-CN"/>
        </w:rPr>
        <w:t>31571.1</w:t>
      </w:r>
      <w:r>
        <w:rPr>
          <w:rFonts w:hint="default" w:ascii="Times New Roman" w:hAnsi="Times New Roman" w:eastAsia="方正仿宋_GBK" w:cs="Times New Roman"/>
          <w:highlight w:val="none"/>
        </w:rPr>
        <w:t>吨，实现产值</w:t>
      </w:r>
      <w:r>
        <w:rPr>
          <w:rFonts w:hint="default" w:ascii="Times New Roman" w:hAnsi="Times New Roman" w:eastAsia="方正仿宋_GBK" w:cs="Times New Roman"/>
          <w:highlight w:val="none"/>
          <w:lang w:val="en-US" w:eastAsia="zh-CN"/>
        </w:rPr>
        <w:t>12040</w:t>
      </w:r>
      <w:r>
        <w:rPr>
          <w:rFonts w:hint="default" w:ascii="Times New Roman" w:hAnsi="Times New Roman" w:eastAsia="方正仿宋_GBK" w:cs="Times New Roman"/>
          <w:highlight w:val="none"/>
        </w:rPr>
        <w:t>万元。</w:t>
      </w:r>
    </w:p>
    <w:p>
      <w:pPr>
        <w:spacing w:line="400" w:lineRule="exact"/>
        <w:jc w:val="center"/>
        <w:rPr>
          <w:rFonts w:hint="default" w:ascii="Times New Roman" w:hAnsi="Times New Roman" w:eastAsia="黑体" w:cs="Times New Roman"/>
          <w:highlight w:val="none"/>
        </w:rPr>
      </w:pPr>
      <w:r>
        <w:rPr>
          <w:rFonts w:hint="default" w:ascii="Times New Roman" w:hAnsi="Times New Roman" w:eastAsia="黑体" w:cs="Times New Roman"/>
          <w:sz w:val="28"/>
          <w:szCs w:val="28"/>
          <w:highlight w:val="none"/>
        </w:rPr>
        <w:t>表2  20</w:t>
      </w:r>
      <w:r>
        <w:rPr>
          <w:rFonts w:hint="default" w:ascii="Times New Roman" w:hAnsi="Times New Roman" w:eastAsia="黑体" w:cs="Times New Roman"/>
          <w:sz w:val="28"/>
          <w:szCs w:val="28"/>
          <w:highlight w:val="none"/>
          <w:lang w:val="en-US" w:eastAsia="zh-CN"/>
        </w:rPr>
        <w:t>20</w:t>
      </w:r>
      <w:r>
        <w:rPr>
          <w:rFonts w:hint="default" w:ascii="Times New Roman" w:hAnsi="Times New Roman" w:eastAsia="黑体" w:cs="Times New Roman"/>
          <w:sz w:val="28"/>
          <w:szCs w:val="28"/>
          <w:highlight w:val="none"/>
        </w:rPr>
        <w:t>年元江县主要农产品产量</w:t>
      </w:r>
      <w:r>
        <w:rPr>
          <w:rFonts w:hint="default" w:ascii="Times New Roman" w:hAnsi="Times New Roman" w:eastAsia="黑体" w:cs="Times New Roman"/>
          <w:highlight w:val="none"/>
        </w:rPr>
        <w:t xml:space="preserve"> </w:t>
      </w:r>
    </w:p>
    <w:tbl>
      <w:tblPr>
        <w:tblStyle w:val="6"/>
        <w:tblW w:w="8766" w:type="dxa"/>
        <w:jc w:val="center"/>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3623"/>
        <w:gridCol w:w="1483"/>
        <w:gridCol w:w="1612"/>
        <w:gridCol w:w="2048"/>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362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Cs/>
                <w:kern w:val="0"/>
                <w:sz w:val="22"/>
                <w:szCs w:val="22"/>
                <w:highlight w:val="none"/>
              </w:rPr>
            </w:pPr>
            <w:r>
              <w:rPr>
                <w:rFonts w:hint="default" w:ascii="Times New Roman" w:hAnsi="Times New Roman" w:eastAsia="方正仿宋_GBK" w:cs="Times New Roman"/>
                <w:bCs/>
                <w:kern w:val="0"/>
                <w:sz w:val="22"/>
                <w:szCs w:val="22"/>
                <w:highlight w:val="none"/>
              </w:rPr>
              <w:t>指   标</w:t>
            </w:r>
          </w:p>
        </w:tc>
        <w:tc>
          <w:tcPr>
            <w:tcW w:w="148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Cs/>
                <w:kern w:val="0"/>
                <w:sz w:val="22"/>
                <w:szCs w:val="22"/>
                <w:highlight w:val="none"/>
              </w:rPr>
            </w:pPr>
            <w:r>
              <w:rPr>
                <w:rFonts w:hint="default" w:ascii="Times New Roman" w:hAnsi="Times New Roman" w:eastAsia="方正仿宋_GBK" w:cs="Times New Roman"/>
                <w:bCs/>
                <w:kern w:val="0"/>
                <w:sz w:val="22"/>
                <w:szCs w:val="22"/>
                <w:highlight w:val="none"/>
              </w:rPr>
              <w:t>单  位</w:t>
            </w:r>
          </w:p>
        </w:tc>
        <w:tc>
          <w:tcPr>
            <w:tcW w:w="161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Cs/>
                <w:kern w:val="0"/>
                <w:sz w:val="22"/>
                <w:szCs w:val="22"/>
                <w:highlight w:val="none"/>
              </w:rPr>
            </w:pPr>
            <w:r>
              <w:rPr>
                <w:rFonts w:hint="default" w:ascii="Times New Roman" w:hAnsi="Times New Roman" w:eastAsia="方正仿宋_GBK" w:cs="Times New Roman"/>
                <w:bCs/>
                <w:kern w:val="0"/>
                <w:sz w:val="22"/>
                <w:szCs w:val="22"/>
                <w:highlight w:val="none"/>
              </w:rPr>
              <w:t>绝对数</w:t>
            </w:r>
          </w:p>
        </w:tc>
        <w:tc>
          <w:tcPr>
            <w:tcW w:w="204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bCs/>
                <w:kern w:val="0"/>
                <w:sz w:val="22"/>
                <w:szCs w:val="22"/>
                <w:highlight w:val="none"/>
              </w:rPr>
            </w:pPr>
            <w:r>
              <w:rPr>
                <w:rFonts w:hint="default" w:ascii="Times New Roman" w:hAnsi="Times New Roman" w:eastAsia="方正仿宋_GBK" w:cs="Times New Roman"/>
                <w:bCs/>
                <w:kern w:val="0"/>
                <w:sz w:val="22"/>
                <w:szCs w:val="22"/>
                <w:highlight w:val="none"/>
              </w:rPr>
              <w:t>与上年相比（%）</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3623" w:type="dxa"/>
            <w:tcBorders>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粮食总产量</w:t>
            </w:r>
          </w:p>
        </w:tc>
        <w:tc>
          <w:tcPr>
            <w:tcW w:w="1483" w:type="dxa"/>
            <w:tcBorders>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万公斤</w:t>
            </w:r>
          </w:p>
        </w:tc>
        <w:tc>
          <w:tcPr>
            <w:tcW w:w="1612" w:type="dxa"/>
            <w:tcBorders>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9496.5</w:t>
            </w:r>
          </w:p>
        </w:tc>
        <w:tc>
          <w:tcPr>
            <w:tcW w:w="2048" w:type="dxa"/>
            <w:tcBorders>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1.6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362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 xml:space="preserve">   其中：大春</w:t>
            </w:r>
          </w:p>
        </w:tc>
        <w:tc>
          <w:tcPr>
            <w:tcW w:w="148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万公斤</w:t>
            </w:r>
          </w:p>
        </w:tc>
        <w:tc>
          <w:tcPr>
            <w:tcW w:w="1612"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8510.8</w:t>
            </w:r>
          </w:p>
        </w:tc>
        <w:tc>
          <w:tcPr>
            <w:tcW w:w="2048"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1.6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362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 xml:space="preserve">         小春</w:t>
            </w:r>
          </w:p>
        </w:tc>
        <w:tc>
          <w:tcPr>
            <w:tcW w:w="148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万公斤</w:t>
            </w:r>
          </w:p>
        </w:tc>
        <w:tc>
          <w:tcPr>
            <w:tcW w:w="1612"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985.7</w:t>
            </w:r>
          </w:p>
        </w:tc>
        <w:tc>
          <w:tcPr>
            <w:tcW w:w="2048"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1.9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362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油料总产量</w:t>
            </w:r>
          </w:p>
        </w:tc>
        <w:tc>
          <w:tcPr>
            <w:tcW w:w="148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万公斤</w:t>
            </w:r>
          </w:p>
        </w:tc>
        <w:tc>
          <w:tcPr>
            <w:tcW w:w="1612"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332.85</w:t>
            </w:r>
          </w:p>
        </w:tc>
        <w:tc>
          <w:tcPr>
            <w:tcW w:w="2048"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-3.6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362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 xml:space="preserve">   其中：油菜</w:t>
            </w:r>
          </w:p>
        </w:tc>
        <w:tc>
          <w:tcPr>
            <w:tcW w:w="148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万公斤</w:t>
            </w:r>
          </w:p>
        </w:tc>
        <w:tc>
          <w:tcPr>
            <w:tcW w:w="1612"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289.13</w:t>
            </w:r>
          </w:p>
        </w:tc>
        <w:tc>
          <w:tcPr>
            <w:tcW w:w="2048"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-1.6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362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甘蔗总产量</w:t>
            </w:r>
          </w:p>
        </w:tc>
        <w:tc>
          <w:tcPr>
            <w:tcW w:w="148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万  吨</w:t>
            </w:r>
          </w:p>
        </w:tc>
        <w:tc>
          <w:tcPr>
            <w:tcW w:w="1612"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15.18</w:t>
            </w:r>
          </w:p>
        </w:tc>
        <w:tc>
          <w:tcPr>
            <w:tcW w:w="2048"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-18.3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362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烤烟产量</w:t>
            </w:r>
          </w:p>
        </w:tc>
        <w:tc>
          <w:tcPr>
            <w:tcW w:w="148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万公斤</w:t>
            </w:r>
          </w:p>
        </w:tc>
        <w:tc>
          <w:tcPr>
            <w:tcW w:w="1612"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757.5</w:t>
            </w:r>
          </w:p>
        </w:tc>
        <w:tc>
          <w:tcPr>
            <w:tcW w:w="2048"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0.0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362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水果总产量</w:t>
            </w:r>
          </w:p>
        </w:tc>
        <w:tc>
          <w:tcPr>
            <w:tcW w:w="148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万公斤</w:t>
            </w:r>
          </w:p>
        </w:tc>
        <w:tc>
          <w:tcPr>
            <w:tcW w:w="1612"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40099.45</w:t>
            </w:r>
          </w:p>
        </w:tc>
        <w:tc>
          <w:tcPr>
            <w:tcW w:w="2048"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7.1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362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 xml:space="preserve">   其中：芒果</w:t>
            </w:r>
          </w:p>
        </w:tc>
        <w:tc>
          <w:tcPr>
            <w:tcW w:w="148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万公斤</w:t>
            </w:r>
          </w:p>
        </w:tc>
        <w:tc>
          <w:tcPr>
            <w:tcW w:w="1612"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10492.87</w:t>
            </w:r>
          </w:p>
        </w:tc>
        <w:tc>
          <w:tcPr>
            <w:tcW w:w="2048"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5.9</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362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 xml:space="preserve">         香蕉</w:t>
            </w:r>
          </w:p>
        </w:tc>
        <w:tc>
          <w:tcPr>
            <w:tcW w:w="148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万公斤</w:t>
            </w:r>
          </w:p>
        </w:tc>
        <w:tc>
          <w:tcPr>
            <w:tcW w:w="1612"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3157.11</w:t>
            </w:r>
          </w:p>
        </w:tc>
        <w:tc>
          <w:tcPr>
            <w:tcW w:w="2048"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362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 xml:space="preserve">         青枣</w:t>
            </w:r>
          </w:p>
        </w:tc>
        <w:tc>
          <w:tcPr>
            <w:tcW w:w="1483"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万公斤</w:t>
            </w:r>
          </w:p>
        </w:tc>
        <w:tc>
          <w:tcPr>
            <w:tcW w:w="1612"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5032.67</w:t>
            </w:r>
          </w:p>
        </w:tc>
        <w:tc>
          <w:tcPr>
            <w:tcW w:w="2048" w:type="dxa"/>
            <w:tcBorders>
              <w:top w:val="nil"/>
              <w:bottom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2.5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3623" w:type="dxa"/>
            <w:tcBorders>
              <w:top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蔬菜产量</w:t>
            </w:r>
          </w:p>
        </w:tc>
        <w:tc>
          <w:tcPr>
            <w:tcW w:w="1483" w:type="dxa"/>
            <w:tcBorders>
              <w:top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万公斤</w:t>
            </w:r>
          </w:p>
        </w:tc>
        <w:tc>
          <w:tcPr>
            <w:tcW w:w="1612" w:type="dxa"/>
            <w:tcBorders>
              <w:top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5719.92</w:t>
            </w:r>
          </w:p>
        </w:tc>
        <w:tc>
          <w:tcPr>
            <w:tcW w:w="2048" w:type="dxa"/>
            <w:tcBorders>
              <w:top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2.6</w:t>
            </w:r>
          </w:p>
        </w:tc>
      </w:tr>
    </w:tbl>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备注:甘蔗产量</w:t>
      </w:r>
      <w:r>
        <w:rPr>
          <w:rFonts w:hint="default" w:ascii="Times New Roman" w:hAnsi="Times New Roman" w:eastAsia="方正仿宋_GBK" w:cs="Times New Roman"/>
          <w:sz w:val="24"/>
          <w:szCs w:val="24"/>
          <w:highlight w:val="none"/>
          <w:lang w:eastAsia="zh-CN"/>
        </w:rPr>
        <w:t>20</w:t>
      </w:r>
      <w:r>
        <w:rPr>
          <w:rFonts w:hint="default" w:ascii="Times New Roman" w:hAnsi="Times New Roman" w:eastAsia="方正仿宋_GBK" w:cs="Times New Roman"/>
          <w:sz w:val="24"/>
          <w:szCs w:val="24"/>
          <w:highlight w:val="none"/>
          <w:lang w:val="en-US" w:eastAsia="zh-CN"/>
        </w:rPr>
        <w:t>19</w:t>
      </w:r>
      <w:r>
        <w:rPr>
          <w:rFonts w:hint="default" w:ascii="Times New Roman" w:hAnsi="Times New Roman" w:eastAsia="方正仿宋_GBK" w:cs="Times New Roman"/>
          <w:sz w:val="24"/>
          <w:szCs w:val="24"/>
          <w:highlight w:val="none"/>
        </w:rPr>
        <w:t>年数为</w:t>
      </w:r>
      <w:r>
        <w:rPr>
          <w:rFonts w:hint="default" w:ascii="Times New Roman" w:hAnsi="Times New Roman" w:eastAsia="方正仿宋_GBK" w:cs="Times New Roman"/>
          <w:sz w:val="24"/>
          <w:szCs w:val="24"/>
          <w:highlight w:val="none"/>
          <w:lang w:eastAsia="zh-CN"/>
        </w:rPr>
        <w:t>20</w:t>
      </w:r>
      <w:r>
        <w:rPr>
          <w:rFonts w:hint="default" w:ascii="Times New Roman" w:hAnsi="Times New Roman" w:eastAsia="方正仿宋_GBK" w:cs="Times New Roman"/>
          <w:sz w:val="24"/>
          <w:szCs w:val="24"/>
          <w:highlight w:val="none"/>
          <w:lang w:val="en-US" w:eastAsia="zh-CN"/>
        </w:rPr>
        <w:t>19</w:t>
      </w:r>
      <w:r>
        <w:rPr>
          <w:rFonts w:hint="default" w:ascii="Times New Roman" w:hAnsi="Times New Roman" w:eastAsia="方正仿宋_GBK" w:cs="Times New Roman"/>
          <w:sz w:val="24"/>
          <w:szCs w:val="24"/>
          <w:highlight w:val="none"/>
        </w:rPr>
        <w:t>-20</w:t>
      </w:r>
      <w:r>
        <w:rPr>
          <w:rFonts w:hint="default" w:ascii="Times New Roman" w:hAnsi="Times New Roman" w:eastAsia="方正仿宋_GBK" w:cs="Times New Roman"/>
          <w:sz w:val="24"/>
          <w:szCs w:val="24"/>
          <w:highlight w:val="none"/>
          <w:lang w:val="en-US" w:eastAsia="zh-CN"/>
        </w:rPr>
        <w:t>20</w:t>
      </w:r>
      <w:r>
        <w:rPr>
          <w:rFonts w:hint="default" w:ascii="Times New Roman" w:hAnsi="Times New Roman" w:eastAsia="方正仿宋_GBK" w:cs="Times New Roman"/>
          <w:sz w:val="24"/>
          <w:szCs w:val="24"/>
          <w:highlight w:val="none"/>
        </w:rPr>
        <w:t>年榨季实产数，20</w:t>
      </w:r>
      <w:r>
        <w:rPr>
          <w:rFonts w:hint="default" w:ascii="Times New Roman" w:hAnsi="Times New Roman" w:eastAsia="方正仿宋_GBK" w:cs="Times New Roman"/>
          <w:sz w:val="24"/>
          <w:szCs w:val="24"/>
          <w:highlight w:val="none"/>
          <w:lang w:val="en-US" w:eastAsia="zh-CN"/>
        </w:rPr>
        <w:t>20</w:t>
      </w:r>
      <w:r>
        <w:rPr>
          <w:rFonts w:hint="default" w:ascii="Times New Roman" w:hAnsi="Times New Roman" w:eastAsia="方正仿宋_GBK" w:cs="Times New Roman"/>
          <w:sz w:val="24"/>
          <w:szCs w:val="24"/>
          <w:highlight w:val="none"/>
        </w:rPr>
        <w:t>年数为20</w:t>
      </w:r>
      <w:r>
        <w:rPr>
          <w:rFonts w:hint="default" w:ascii="Times New Roman" w:hAnsi="Times New Roman" w:eastAsia="方正仿宋_GBK" w:cs="Times New Roman"/>
          <w:sz w:val="24"/>
          <w:szCs w:val="24"/>
          <w:highlight w:val="none"/>
          <w:lang w:val="en-US" w:eastAsia="zh-CN"/>
        </w:rPr>
        <w:t>20</w:t>
      </w:r>
      <w:r>
        <w:rPr>
          <w:rFonts w:hint="default" w:ascii="Times New Roman" w:hAnsi="Times New Roman" w:eastAsia="方正仿宋_GBK" w:cs="Times New Roman"/>
          <w:sz w:val="24"/>
          <w:szCs w:val="24"/>
          <w:highlight w:val="none"/>
        </w:rPr>
        <w:t>-202</w:t>
      </w:r>
      <w:r>
        <w:rPr>
          <w:rFonts w:hint="default" w:ascii="Times New Roman" w:hAnsi="Times New Roman" w:eastAsia="方正仿宋_GBK" w:cs="Times New Roman"/>
          <w:sz w:val="24"/>
          <w:szCs w:val="24"/>
          <w:highlight w:val="none"/>
          <w:lang w:val="en-US" w:eastAsia="zh-CN"/>
        </w:rPr>
        <w:t>1</w:t>
      </w:r>
      <w:r>
        <w:rPr>
          <w:rFonts w:hint="default" w:ascii="Times New Roman" w:hAnsi="Times New Roman" w:eastAsia="方正仿宋_GBK" w:cs="Times New Roman"/>
          <w:sz w:val="24"/>
          <w:szCs w:val="24"/>
          <w:highlight w:val="none"/>
        </w:rPr>
        <w:t>年榨季预计数。</w:t>
      </w:r>
    </w:p>
    <w:p>
      <w:pPr>
        <w:keepNext w:val="0"/>
        <w:keepLines w:val="0"/>
        <w:pageBreakBefore w:val="0"/>
        <w:widowControl w:val="0"/>
        <w:kinsoku/>
        <w:wordWrap/>
        <w:overflowPunct/>
        <w:topLinePunct w:val="0"/>
        <w:autoSpaceDE/>
        <w:autoSpaceDN/>
        <w:bidi w:val="0"/>
        <w:adjustRightInd/>
        <w:snapToGrid/>
        <w:spacing w:line="280" w:lineRule="exact"/>
        <w:ind w:firstLine="640" w:firstLineChars="200"/>
        <w:textAlignment w:val="auto"/>
        <w:rPr>
          <w:rFonts w:hint="default" w:ascii="Times New Roman" w:hAnsi="Times New Roman" w:eastAsia="方正仿宋_GBK" w:cs="Times New Roman"/>
          <w:sz w:val="24"/>
          <w:szCs w:val="24"/>
          <w:highlight w:val="none"/>
        </w:rPr>
      </w:pPr>
      <w:r>
        <w:rPr>
          <w:rFonts w:hint="default" w:ascii="Times New Roman" w:hAnsi="Times New Roman" w:cs="Times New Roman"/>
          <w:highlight w:val="none"/>
        </w:rPr>
        <w:drawing>
          <wp:anchor distT="0" distB="0" distL="114300" distR="114300" simplePos="0" relativeHeight="251667456" behindDoc="0" locked="0" layoutInCell="1" allowOverlap="1">
            <wp:simplePos x="0" y="0"/>
            <wp:positionH relativeFrom="column">
              <wp:posOffset>610870</wp:posOffset>
            </wp:positionH>
            <wp:positionV relativeFrom="paragraph">
              <wp:posOffset>153035</wp:posOffset>
            </wp:positionV>
            <wp:extent cx="4608195" cy="3221990"/>
            <wp:effectExtent l="5080" t="4445" r="15875" b="12065"/>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方正仿宋_GBK"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default" w:ascii="Times New Roman" w:hAnsi="Times New Roman" w:eastAsia="方正仿宋_GBK" w:cs="Times New Roman"/>
          <w:sz w:val="24"/>
          <w:szCs w:val="24"/>
          <w:highlight w:val="none"/>
        </w:rPr>
      </w:pPr>
    </w:p>
    <w:p>
      <w:pPr>
        <w:jc w:val="center"/>
        <w:rPr>
          <w:rFonts w:hint="default" w:ascii="Times New Roman" w:hAnsi="Times New Roman" w:cs="Times New Roman"/>
          <w:highlight w:val="none"/>
        </w:rPr>
      </w:pPr>
    </w:p>
    <w:p>
      <w:pPr>
        <w:jc w:val="center"/>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年，全县完成</w:t>
      </w:r>
      <w:r>
        <w:rPr>
          <w:rFonts w:hint="default" w:ascii="Times New Roman" w:hAnsi="Times New Roman" w:eastAsia="方正仿宋_GBK" w:cs="Times New Roman"/>
          <w:highlight w:val="none"/>
          <w:lang w:eastAsia="zh-CN"/>
        </w:rPr>
        <w:t>营造林</w:t>
      </w:r>
      <w:r>
        <w:rPr>
          <w:rFonts w:hint="default" w:ascii="Times New Roman" w:hAnsi="Times New Roman" w:eastAsia="方正仿宋_GBK" w:cs="Times New Roman"/>
          <w:highlight w:val="none"/>
        </w:rPr>
        <w:t>面积</w:t>
      </w:r>
      <w:r>
        <w:rPr>
          <w:rFonts w:hint="default" w:ascii="Times New Roman" w:hAnsi="Times New Roman" w:eastAsia="方正仿宋_GBK" w:cs="Times New Roman"/>
          <w:highlight w:val="none"/>
          <w:lang w:val="en-US" w:eastAsia="zh-CN"/>
        </w:rPr>
        <w:t>4.21</w:t>
      </w:r>
      <w:r>
        <w:rPr>
          <w:rFonts w:hint="default" w:ascii="Times New Roman" w:hAnsi="Times New Roman" w:eastAsia="方正仿宋_GBK" w:cs="Times New Roman"/>
          <w:highlight w:val="none"/>
        </w:rPr>
        <w:t>万亩，义务植树</w:t>
      </w:r>
      <w:r>
        <w:rPr>
          <w:rFonts w:hint="default" w:ascii="Times New Roman" w:hAnsi="Times New Roman" w:eastAsia="方正仿宋_GBK" w:cs="Times New Roman"/>
          <w:highlight w:val="none"/>
          <w:lang w:val="en-US" w:eastAsia="zh-CN"/>
        </w:rPr>
        <w:t>61.03</w:t>
      </w:r>
      <w:r>
        <w:rPr>
          <w:rFonts w:hint="default" w:ascii="Times New Roman" w:hAnsi="Times New Roman" w:eastAsia="方正仿宋_GBK" w:cs="Times New Roman"/>
          <w:highlight w:val="none"/>
        </w:rPr>
        <w:t>万株；森林覆盖率</w:t>
      </w:r>
      <w:r>
        <w:rPr>
          <w:rFonts w:hint="default" w:ascii="Times New Roman" w:hAnsi="Times New Roman" w:eastAsia="方正仿宋_GBK" w:cs="Times New Roman"/>
          <w:highlight w:val="none"/>
          <w:lang w:val="en-US" w:eastAsia="zh-CN"/>
        </w:rPr>
        <w:t>66.67</w:t>
      </w:r>
      <w:r>
        <w:rPr>
          <w:rFonts w:hint="default" w:ascii="Times New Roman" w:hAnsi="Times New Roman" w:eastAsia="方正仿宋_GBK" w:cs="Times New Roman"/>
          <w:highlight w:val="none"/>
        </w:rPr>
        <w:t>%；林木绿化率</w:t>
      </w:r>
      <w:r>
        <w:rPr>
          <w:rFonts w:hint="default" w:ascii="Times New Roman" w:hAnsi="Times New Roman" w:eastAsia="方正仿宋_GBK" w:cs="Times New Roman"/>
          <w:highlight w:val="none"/>
          <w:lang w:val="en-US" w:eastAsia="zh-CN"/>
        </w:rPr>
        <w:t>66.63</w:t>
      </w:r>
      <w:r>
        <w:rPr>
          <w:rFonts w:hint="default" w:ascii="Times New Roman" w:hAnsi="Times New Roman" w:eastAsia="方正仿宋_GBK" w:cs="Times New Roman"/>
          <w:highlight w:val="none"/>
        </w:rPr>
        <w:t>%，其中</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国家特别规定灌木林面积</w:t>
      </w:r>
      <w:r>
        <w:rPr>
          <w:rFonts w:hint="default" w:ascii="Times New Roman" w:hAnsi="Times New Roman" w:eastAsia="方正仿宋_GBK" w:cs="Times New Roman"/>
          <w:highlight w:val="none"/>
          <w:lang w:val="en-US" w:eastAsia="zh-CN"/>
        </w:rPr>
        <w:t>23783.42</w:t>
      </w:r>
      <w:r>
        <w:rPr>
          <w:rFonts w:hint="default" w:ascii="Times New Roman" w:hAnsi="Times New Roman" w:eastAsia="方正仿宋_GBK" w:cs="Times New Roman"/>
          <w:highlight w:val="none"/>
        </w:rPr>
        <w:t>公顷。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年，</w:t>
      </w:r>
      <w:r>
        <w:rPr>
          <w:rFonts w:hint="default" w:ascii="Times New Roman" w:hAnsi="Times New Roman" w:cs="Times New Roman"/>
          <w:highlight w:val="none"/>
        </w:rPr>
        <w:t>全县共有生猪标准化规模养殖场</w:t>
      </w:r>
      <w:r>
        <w:rPr>
          <w:rFonts w:hint="default" w:ascii="Times New Roman" w:hAnsi="Times New Roman" w:cs="Times New Roman"/>
          <w:highlight w:val="none"/>
          <w:lang w:val="en-US" w:eastAsia="zh-CN"/>
        </w:rPr>
        <w:t>77</w:t>
      </w:r>
      <w:r>
        <w:rPr>
          <w:rFonts w:hint="default" w:ascii="Times New Roman" w:hAnsi="Times New Roman" w:cs="Times New Roman"/>
          <w:highlight w:val="none"/>
        </w:rPr>
        <w:t>个。</w:t>
      </w:r>
      <w:r>
        <w:rPr>
          <w:rFonts w:hint="default" w:ascii="Times New Roman" w:hAnsi="Times New Roman" w:eastAsia="方正仿宋_GBK" w:cs="Times New Roman"/>
          <w:highlight w:val="none"/>
        </w:rPr>
        <w:t>全年出栏肥猪50头以上的规模户</w:t>
      </w:r>
      <w:r>
        <w:rPr>
          <w:rFonts w:hint="default" w:ascii="Times New Roman" w:hAnsi="Times New Roman" w:eastAsia="方正仿宋_GBK" w:cs="Times New Roman"/>
          <w:highlight w:val="none"/>
          <w:lang w:val="en-US" w:eastAsia="zh-CN"/>
        </w:rPr>
        <w:t>77</w:t>
      </w:r>
      <w:r>
        <w:rPr>
          <w:rFonts w:hint="default" w:ascii="Times New Roman" w:hAnsi="Times New Roman" w:eastAsia="方正仿宋_GBK" w:cs="Times New Roman"/>
          <w:highlight w:val="none"/>
        </w:rPr>
        <w:t>户，其中：500头以上的</w:t>
      </w:r>
      <w:r>
        <w:rPr>
          <w:rFonts w:hint="default" w:ascii="Times New Roman" w:hAnsi="Times New Roman" w:eastAsia="方正仿宋_GBK" w:cs="Times New Roman"/>
          <w:highlight w:val="none"/>
          <w:lang w:val="en-US" w:eastAsia="zh-CN"/>
        </w:rPr>
        <w:t>17</w:t>
      </w:r>
      <w:r>
        <w:rPr>
          <w:rFonts w:hint="default" w:ascii="Times New Roman" w:hAnsi="Times New Roman" w:eastAsia="方正仿宋_GBK" w:cs="Times New Roman"/>
          <w:highlight w:val="none"/>
        </w:rPr>
        <w:t>户，1000头以上的</w:t>
      </w:r>
      <w:r>
        <w:rPr>
          <w:rFonts w:hint="default" w:ascii="Times New Roman" w:hAnsi="Times New Roman" w:eastAsia="方正仿宋_GBK" w:cs="Times New Roman"/>
          <w:highlight w:val="none"/>
          <w:lang w:val="en-US" w:eastAsia="zh-CN"/>
        </w:rPr>
        <w:t>11</w:t>
      </w:r>
      <w:r>
        <w:rPr>
          <w:rFonts w:hint="default" w:ascii="Times New Roman" w:hAnsi="Times New Roman" w:eastAsia="方正仿宋_GBK" w:cs="Times New Roman"/>
          <w:highlight w:val="none"/>
        </w:rPr>
        <w:t>户。饲养肉牛20头以上的规模户</w:t>
      </w:r>
      <w:r>
        <w:rPr>
          <w:rFonts w:hint="default" w:ascii="Times New Roman" w:hAnsi="Times New Roman" w:eastAsia="方正仿宋_GBK" w:cs="Times New Roman"/>
          <w:highlight w:val="none"/>
          <w:lang w:val="en-US" w:eastAsia="zh-CN"/>
        </w:rPr>
        <w:t>152</w:t>
      </w:r>
      <w:r>
        <w:rPr>
          <w:rFonts w:hint="default" w:ascii="Times New Roman" w:hAnsi="Times New Roman" w:eastAsia="方正仿宋_GBK" w:cs="Times New Roman"/>
          <w:highlight w:val="none"/>
        </w:rPr>
        <w:t>户，其中：100头以上的</w:t>
      </w: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rPr>
        <w:t>户。饲养羊50只以上的规模户</w:t>
      </w:r>
      <w:r>
        <w:rPr>
          <w:rFonts w:hint="default" w:ascii="Times New Roman" w:hAnsi="Times New Roman" w:eastAsia="方正仿宋_GBK" w:cs="Times New Roman"/>
          <w:highlight w:val="none"/>
          <w:lang w:val="en-US" w:eastAsia="zh-CN"/>
        </w:rPr>
        <w:t>91</w:t>
      </w:r>
      <w:r>
        <w:rPr>
          <w:rFonts w:hint="default" w:ascii="Times New Roman" w:hAnsi="Times New Roman" w:eastAsia="方正仿宋_GBK" w:cs="Times New Roman"/>
          <w:highlight w:val="none"/>
        </w:rPr>
        <w:t>户，其中：年出栏50只以上的规模户</w:t>
      </w:r>
      <w:r>
        <w:rPr>
          <w:rFonts w:hint="default" w:ascii="Times New Roman" w:hAnsi="Times New Roman" w:eastAsia="方正仿宋_GBK" w:cs="Times New Roman"/>
          <w:highlight w:val="none"/>
          <w:lang w:val="en-US" w:eastAsia="zh-CN"/>
        </w:rPr>
        <w:t>16</w:t>
      </w:r>
      <w:r>
        <w:rPr>
          <w:rFonts w:hint="default" w:ascii="Times New Roman" w:hAnsi="Times New Roman" w:eastAsia="方正仿宋_GBK" w:cs="Times New Roman"/>
          <w:highlight w:val="none"/>
        </w:rPr>
        <w:t>户，年出栏100只以上的</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户。年出栏肉鸡1000只以上的规模户</w:t>
      </w:r>
      <w:r>
        <w:rPr>
          <w:rFonts w:hint="default" w:ascii="Times New Roman" w:hAnsi="Times New Roman" w:eastAsia="方正仿宋_GBK" w:cs="Times New Roman"/>
          <w:highlight w:val="none"/>
          <w:lang w:val="en-US" w:eastAsia="zh-CN"/>
        </w:rPr>
        <w:t>27</w:t>
      </w:r>
      <w:r>
        <w:rPr>
          <w:rFonts w:hint="default" w:ascii="Times New Roman" w:hAnsi="Times New Roman" w:eastAsia="方正仿宋_GBK" w:cs="Times New Roman"/>
          <w:highlight w:val="none"/>
        </w:rPr>
        <w:t>户，其中：1万只以上的</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户；5万只以上的</w:t>
      </w:r>
      <w:r>
        <w:rPr>
          <w:rFonts w:hint="default" w:ascii="Times New Roman" w:hAnsi="Times New Roman" w:eastAsia="方正仿宋_GBK" w:cs="Times New Roman"/>
          <w:highlight w:val="none"/>
          <w:lang w:val="en-US" w:eastAsia="zh-CN"/>
        </w:rPr>
        <w:t>2</w:t>
      </w:r>
      <w:r>
        <w:rPr>
          <w:rFonts w:hint="default" w:ascii="Times New Roman" w:hAnsi="Times New Roman" w:eastAsia="方正仿宋_GBK" w:cs="Times New Roman"/>
          <w:highlight w:val="none"/>
        </w:rPr>
        <w:t>户。年出栏水禽500只以上的</w:t>
      </w:r>
      <w:r>
        <w:rPr>
          <w:rFonts w:hint="default" w:ascii="Times New Roman" w:hAnsi="Times New Roman" w:eastAsia="方正仿宋_GBK" w:cs="Times New Roman"/>
          <w:highlight w:val="none"/>
          <w:lang w:val="en-US" w:eastAsia="zh-CN"/>
        </w:rPr>
        <w:t>13</w:t>
      </w:r>
      <w:r>
        <w:rPr>
          <w:rFonts w:hint="default" w:ascii="Times New Roman" w:hAnsi="Times New Roman" w:eastAsia="方正仿宋_GBK" w:cs="Times New Roman"/>
          <w:highlight w:val="none"/>
        </w:rPr>
        <w:t>户。</w:t>
      </w:r>
    </w:p>
    <w:p>
      <w:pPr>
        <w:spacing w:line="560" w:lineRule="exact"/>
        <w:jc w:val="center"/>
        <w:rPr>
          <w:rFonts w:hint="default" w:ascii="Times New Roman" w:hAnsi="Times New Roman" w:eastAsia="方正黑体_GBK" w:cs="Times New Roman"/>
          <w:b/>
          <w:sz w:val="30"/>
          <w:szCs w:val="30"/>
          <w:highlight w:val="none"/>
        </w:rPr>
      </w:pPr>
      <w:r>
        <w:rPr>
          <w:rFonts w:hint="default" w:ascii="Times New Roman" w:hAnsi="Times New Roman" w:eastAsia="黑体" w:cs="Times New Roman"/>
          <w:bCs/>
          <w:sz w:val="28"/>
          <w:szCs w:val="28"/>
          <w:highlight w:val="none"/>
        </w:rPr>
        <w:t>表3  20</w:t>
      </w:r>
      <w:r>
        <w:rPr>
          <w:rFonts w:hint="default" w:ascii="Times New Roman" w:hAnsi="Times New Roman" w:eastAsia="黑体" w:cs="Times New Roman"/>
          <w:bCs/>
          <w:sz w:val="28"/>
          <w:szCs w:val="28"/>
          <w:highlight w:val="none"/>
          <w:lang w:val="en-US" w:eastAsia="zh-CN"/>
        </w:rPr>
        <w:t>20</w:t>
      </w:r>
      <w:r>
        <w:rPr>
          <w:rFonts w:hint="default" w:ascii="Times New Roman" w:hAnsi="Times New Roman" w:eastAsia="黑体" w:cs="Times New Roman"/>
          <w:bCs/>
          <w:sz w:val="28"/>
          <w:szCs w:val="28"/>
          <w:highlight w:val="none"/>
        </w:rPr>
        <w:t>年元江县畜禽产品产量</w:t>
      </w:r>
    </w:p>
    <w:tbl>
      <w:tblPr>
        <w:tblStyle w:val="6"/>
        <w:tblW w:w="8300" w:type="dxa"/>
        <w:jc w:val="center"/>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2959"/>
        <w:gridCol w:w="1292"/>
        <w:gridCol w:w="2028"/>
        <w:gridCol w:w="2021"/>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52" w:hRule="atLeast"/>
          <w:jc w:val="center"/>
        </w:trPr>
        <w:tc>
          <w:tcPr>
            <w:tcW w:w="2959" w:type="dxa"/>
            <w:tcBorders>
              <w:bottom w:val="single" w:color="auto" w:sz="6" w:space="0"/>
              <w:tl2br w:val="nil"/>
              <w:tr2bl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指     标</w:t>
            </w:r>
          </w:p>
        </w:tc>
        <w:tc>
          <w:tcPr>
            <w:tcW w:w="1292" w:type="dxa"/>
            <w:tcBorders>
              <w:bottom w:val="single" w:color="auto" w:sz="6" w:space="0"/>
              <w:tl2br w:val="nil"/>
              <w:tr2bl w:val="nil"/>
            </w:tcBorders>
            <w:vAlign w:val="center"/>
          </w:tcPr>
          <w:p>
            <w:pPr>
              <w:widowControl/>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 xml:space="preserve"> 单  位</w:t>
            </w:r>
          </w:p>
        </w:tc>
        <w:tc>
          <w:tcPr>
            <w:tcW w:w="2028" w:type="dxa"/>
            <w:tcBorders>
              <w:bottom w:val="single" w:color="auto" w:sz="6" w:space="0"/>
              <w:tl2br w:val="nil"/>
              <w:tr2bl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绝对数</w:t>
            </w:r>
          </w:p>
        </w:tc>
        <w:tc>
          <w:tcPr>
            <w:tcW w:w="2021" w:type="dxa"/>
            <w:tcBorders>
              <w:bottom w:val="single" w:color="auto" w:sz="6" w:space="0"/>
              <w:tl2br w:val="nil"/>
              <w:tr2bl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与上年相比（%）</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959" w:type="dxa"/>
            <w:tcBorders>
              <w:top w:val="single" w:color="auto" w:sz="6" w:space="0"/>
              <w:bottom w:val="nil"/>
            </w:tcBorders>
            <w:vAlign w:val="center"/>
          </w:tcPr>
          <w:p>
            <w:pPr>
              <w:widowControl/>
              <w:jc w:val="left"/>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生猪年末存栏</w:t>
            </w:r>
          </w:p>
        </w:tc>
        <w:tc>
          <w:tcPr>
            <w:tcW w:w="1292" w:type="dxa"/>
            <w:tcBorders>
              <w:top w:val="single" w:color="auto" w:sz="6" w:space="0"/>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头</w:t>
            </w:r>
          </w:p>
        </w:tc>
        <w:tc>
          <w:tcPr>
            <w:tcW w:w="2028" w:type="dxa"/>
            <w:tcBorders>
              <w:top w:val="single" w:color="auto" w:sz="6" w:space="0"/>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91389</w:t>
            </w:r>
          </w:p>
        </w:tc>
        <w:tc>
          <w:tcPr>
            <w:tcW w:w="2021" w:type="dxa"/>
            <w:tcBorders>
              <w:top w:val="single" w:color="auto" w:sz="6" w:space="0"/>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-7.3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959" w:type="dxa"/>
            <w:tcBorders>
              <w:top w:val="nil"/>
              <w:bottom w:val="nil"/>
            </w:tcBorders>
            <w:vAlign w:val="center"/>
          </w:tcPr>
          <w:p>
            <w:pPr>
              <w:widowControl/>
              <w:jc w:val="left"/>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肥猪年内出栏</w:t>
            </w:r>
          </w:p>
        </w:tc>
        <w:tc>
          <w:tcPr>
            <w:tcW w:w="1292"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头</w:t>
            </w:r>
          </w:p>
        </w:tc>
        <w:tc>
          <w:tcPr>
            <w:tcW w:w="2028"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85776</w:t>
            </w:r>
          </w:p>
        </w:tc>
        <w:tc>
          <w:tcPr>
            <w:tcW w:w="2021"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-22</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959" w:type="dxa"/>
            <w:tcBorders>
              <w:top w:val="nil"/>
              <w:bottom w:val="nil"/>
            </w:tcBorders>
            <w:vAlign w:val="center"/>
          </w:tcPr>
          <w:p>
            <w:pPr>
              <w:widowControl/>
              <w:jc w:val="left"/>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猪肉产量</w:t>
            </w:r>
          </w:p>
        </w:tc>
        <w:tc>
          <w:tcPr>
            <w:tcW w:w="1292"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吨</w:t>
            </w:r>
          </w:p>
        </w:tc>
        <w:tc>
          <w:tcPr>
            <w:tcW w:w="2028"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7309</w:t>
            </w:r>
          </w:p>
        </w:tc>
        <w:tc>
          <w:tcPr>
            <w:tcW w:w="2021"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-23.7</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959" w:type="dxa"/>
            <w:tcBorders>
              <w:top w:val="nil"/>
              <w:bottom w:val="nil"/>
            </w:tcBorders>
            <w:vAlign w:val="center"/>
          </w:tcPr>
          <w:p>
            <w:pPr>
              <w:widowControl/>
              <w:jc w:val="left"/>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牛存栏</w:t>
            </w:r>
          </w:p>
        </w:tc>
        <w:tc>
          <w:tcPr>
            <w:tcW w:w="1292"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头</w:t>
            </w:r>
          </w:p>
        </w:tc>
        <w:tc>
          <w:tcPr>
            <w:tcW w:w="2028"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35595</w:t>
            </w:r>
          </w:p>
        </w:tc>
        <w:tc>
          <w:tcPr>
            <w:tcW w:w="2021"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0.3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959" w:type="dxa"/>
            <w:tcBorders>
              <w:top w:val="nil"/>
              <w:bottom w:val="nil"/>
            </w:tcBorders>
            <w:vAlign w:val="center"/>
          </w:tcPr>
          <w:p>
            <w:pPr>
              <w:widowControl/>
              <w:jc w:val="left"/>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牛出栏</w:t>
            </w:r>
          </w:p>
        </w:tc>
        <w:tc>
          <w:tcPr>
            <w:tcW w:w="1292"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头</w:t>
            </w:r>
          </w:p>
        </w:tc>
        <w:tc>
          <w:tcPr>
            <w:tcW w:w="2028"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17224</w:t>
            </w:r>
          </w:p>
        </w:tc>
        <w:tc>
          <w:tcPr>
            <w:tcW w:w="2021"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4.3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959" w:type="dxa"/>
            <w:tcBorders>
              <w:top w:val="nil"/>
              <w:bottom w:val="nil"/>
            </w:tcBorders>
            <w:vAlign w:val="center"/>
          </w:tcPr>
          <w:p>
            <w:pPr>
              <w:widowControl/>
              <w:jc w:val="left"/>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牛肉产量</w:t>
            </w:r>
          </w:p>
        </w:tc>
        <w:tc>
          <w:tcPr>
            <w:tcW w:w="1292"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吨</w:t>
            </w:r>
          </w:p>
        </w:tc>
        <w:tc>
          <w:tcPr>
            <w:tcW w:w="2028"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2239</w:t>
            </w:r>
          </w:p>
        </w:tc>
        <w:tc>
          <w:tcPr>
            <w:tcW w:w="2021"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8.8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959" w:type="dxa"/>
            <w:tcBorders>
              <w:top w:val="nil"/>
              <w:bottom w:val="nil"/>
            </w:tcBorders>
            <w:vAlign w:val="center"/>
          </w:tcPr>
          <w:p>
            <w:pPr>
              <w:widowControl/>
              <w:jc w:val="left"/>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山绵羊年末存栏</w:t>
            </w:r>
          </w:p>
        </w:tc>
        <w:tc>
          <w:tcPr>
            <w:tcW w:w="1292"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只</w:t>
            </w:r>
          </w:p>
        </w:tc>
        <w:tc>
          <w:tcPr>
            <w:tcW w:w="2028"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39870</w:t>
            </w:r>
          </w:p>
        </w:tc>
        <w:tc>
          <w:tcPr>
            <w:tcW w:w="2021"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7.5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959" w:type="dxa"/>
            <w:tcBorders>
              <w:top w:val="nil"/>
              <w:bottom w:val="nil"/>
            </w:tcBorders>
            <w:vAlign w:val="center"/>
          </w:tcPr>
          <w:p>
            <w:pPr>
              <w:widowControl/>
              <w:jc w:val="left"/>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山绵羊年内出栏</w:t>
            </w:r>
          </w:p>
        </w:tc>
        <w:tc>
          <w:tcPr>
            <w:tcW w:w="1292"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只</w:t>
            </w:r>
          </w:p>
        </w:tc>
        <w:tc>
          <w:tcPr>
            <w:tcW w:w="2028"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31986</w:t>
            </w:r>
          </w:p>
        </w:tc>
        <w:tc>
          <w:tcPr>
            <w:tcW w:w="2021"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15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959" w:type="dxa"/>
            <w:tcBorders>
              <w:top w:val="nil"/>
              <w:bottom w:val="nil"/>
            </w:tcBorders>
            <w:vAlign w:val="center"/>
          </w:tcPr>
          <w:p>
            <w:pPr>
              <w:widowControl/>
              <w:jc w:val="left"/>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羊肉产量</w:t>
            </w:r>
          </w:p>
        </w:tc>
        <w:tc>
          <w:tcPr>
            <w:tcW w:w="1292"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吨</w:t>
            </w:r>
          </w:p>
        </w:tc>
        <w:tc>
          <w:tcPr>
            <w:tcW w:w="2028"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638</w:t>
            </w:r>
          </w:p>
        </w:tc>
        <w:tc>
          <w:tcPr>
            <w:tcW w:w="2021"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2.5</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959" w:type="dxa"/>
            <w:tcBorders>
              <w:top w:val="nil"/>
              <w:bottom w:val="nil"/>
            </w:tcBorders>
            <w:vAlign w:val="center"/>
          </w:tcPr>
          <w:p>
            <w:pPr>
              <w:widowControl/>
              <w:jc w:val="left"/>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家禽出栏</w:t>
            </w:r>
          </w:p>
        </w:tc>
        <w:tc>
          <w:tcPr>
            <w:tcW w:w="1292"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只</w:t>
            </w:r>
          </w:p>
        </w:tc>
        <w:tc>
          <w:tcPr>
            <w:tcW w:w="2028"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999257</w:t>
            </w:r>
          </w:p>
        </w:tc>
        <w:tc>
          <w:tcPr>
            <w:tcW w:w="2021"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27.8</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959" w:type="dxa"/>
            <w:tcBorders>
              <w:top w:val="nil"/>
              <w:bottom w:val="nil"/>
            </w:tcBorders>
            <w:vAlign w:val="center"/>
          </w:tcPr>
          <w:p>
            <w:pPr>
              <w:widowControl/>
              <w:jc w:val="left"/>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禽肉产量</w:t>
            </w:r>
          </w:p>
        </w:tc>
        <w:tc>
          <w:tcPr>
            <w:tcW w:w="1292"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吨</w:t>
            </w:r>
          </w:p>
        </w:tc>
        <w:tc>
          <w:tcPr>
            <w:tcW w:w="2028" w:type="dxa"/>
            <w:tcBorders>
              <w:top w:val="nil"/>
              <w:bottom w:val="nil"/>
            </w:tcBorders>
            <w:vAlign w:val="center"/>
          </w:tcPr>
          <w:p>
            <w:pPr>
              <w:widowControl/>
              <w:ind w:firstLine="660" w:firstLineChars="300"/>
              <w:jc w:val="both"/>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1678</w:t>
            </w:r>
          </w:p>
        </w:tc>
        <w:tc>
          <w:tcPr>
            <w:tcW w:w="2021"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28.1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959" w:type="dxa"/>
            <w:tcBorders>
              <w:top w:val="nil"/>
              <w:bottom w:val="nil"/>
            </w:tcBorders>
            <w:vAlign w:val="center"/>
          </w:tcPr>
          <w:p>
            <w:pPr>
              <w:widowControl/>
              <w:jc w:val="left"/>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肉类总产量</w:t>
            </w:r>
          </w:p>
        </w:tc>
        <w:tc>
          <w:tcPr>
            <w:tcW w:w="1292"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吨</w:t>
            </w:r>
          </w:p>
        </w:tc>
        <w:tc>
          <w:tcPr>
            <w:tcW w:w="2028"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11886.4</w:t>
            </w:r>
          </w:p>
        </w:tc>
        <w:tc>
          <w:tcPr>
            <w:tcW w:w="2021" w:type="dxa"/>
            <w:tcBorders>
              <w:top w:val="nil"/>
              <w:bottom w:val="nil"/>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-12.6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959" w:type="dxa"/>
            <w:tcBorders>
              <w:top w:val="nil"/>
              <w:bottom w:val="single" w:color="auto" w:sz="12" w:space="0"/>
            </w:tcBorders>
            <w:vAlign w:val="center"/>
          </w:tcPr>
          <w:p>
            <w:pPr>
              <w:widowControl/>
              <w:jc w:val="left"/>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禽蛋总产量</w:t>
            </w:r>
          </w:p>
        </w:tc>
        <w:tc>
          <w:tcPr>
            <w:tcW w:w="1292" w:type="dxa"/>
            <w:tcBorders>
              <w:top w:val="nil"/>
              <w:bottom w:val="single" w:color="auto" w:sz="12" w:space="0"/>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rPr>
              <w:t>吨</w:t>
            </w:r>
          </w:p>
        </w:tc>
        <w:tc>
          <w:tcPr>
            <w:tcW w:w="2028" w:type="dxa"/>
            <w:tcBorders>
              <w:top w:val="nil"/>
              <w:bottom w:val="single" w:color="auto" w:sz="12" w:space="0"/>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1019</w:t>
            </w:r>
          </w:p>
        </w:tc>
        <w:tc>
          <w:tcPr>
            <w:tcW w:w="2021" w:type="dxa"/>
            <w:tcBorders>
              <w:top w:val="nil"/>
              <w:bottom w:val="single" w:color="auto" w:sz="12" w:space="0"/>
            </w:tcBorders>
            <w:vAlign w:val="center"/>
          </w:tcPr>
          <w:p>
            <w:pPr>
              <w:widowControl/>
              <w:jc w:val="center"/>
              <w:rPr>
                <w:rFonts w:hint="default" w:ascii="Times New Roman" w:hAnsi="Times New Roman" w:eastAsia="方正仿宋_GBK" w:cs="Times New Roman"/>
                <w:kern w:val="0"/>
                <w:sz w:val="22"/>
                <w:szCs w:val="22"/>
                <w:highlight w:val="none"/>
              </w:rPr>
            </w:pPr>
            <w:r>
              <w:rPr>
                <w:rFonts w:hint="default" w:ascii="Times New Roman" w:hAnsi="Times New Roman" w:eastAsia="方正仿宋_GBK" w:cs="Times New Roman"/>
                <w:kern w:val="0"/>
                <w:sz w:val="22"/>
                <w:szCs w:val="22"/>
                <w:highlight w:val="none"/>
                <w:lang w:val="en-US" w:eastAsia="zh-CN"/>
              </w:rPr>
              <w:t>-13.6</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年，全县水产养殖面积</w:t>
      </w:r>
      <w:r>
        <w:rPr>
          <w:rFonts w:hint="default" w:ascii="Times New Roman" w:hAnsi="Times New Roman" w:eastAsia="方正仿宋_GBK" w:cs="Times New Roman"/>
          <w:highlight w:val="none"/>
          <w:lang w:val="en-US" w:eastAsia="zh-CN"/>
        </w:rPr>
        <w:t>13861</w:t>
      </w:r>
      <w:r>
        <w:rPr>
          <w:rFonts w:hint="default" w:ascii="Times New Roman" w:hAnsi="Times New Roman" w:eastAsia="方正仿宋_GBK" w:cs="Times New Roman"/>
          <w:highlight w:val="none"/>
        </w:rPr>
        <w:t>亩（含稻田养殖面积），其中：池坝塘</w:t>
      </w:r>
      <w:r>
        <w:rPr>
          <w:rFonts w:hint="default" w:ascii="Times New Roman" w:hAnsi="Times New Roman" w:eastAsia="方正仿宋_GBK" w:cs="Times New Roman"/>
          <w:highlight w:val="none"/>
          <w:lang w:val="en-US" w:eastAsia="zh-CN"/>
        </w:rPr>
        <w:t>2264</w:t>
      </w:r>
      <w:r>
        <w:rPr>
          <w:rFonts w:hint="default" w:ascii="Times New Roman" w:hAnsi="Times New Roman" w:eastAsia="方正仿宋_GBK" w:cs="Times New Roman"/>
          <w:highlight w:val="none"/>
        </w:rPr>
        <w:t>亩，水库</w:t>
      </w:r>
      <w:r>
        <w:rPr>
          <w:rFonts w:hint="default" w:ascii="Times New Roman" w:hAnsi="Times New Roman" w:eastAsia="方正仿宋_GBK" w:cs="Times New Roman"/>
          <w:highlight w:val="none"/>
          <w:lang w:val="en-US" w:eastAsia="zh-CN"/>
        </w:rPr>
        <w:t>1397</w:t>
      </w:r>
      <w:r>
        <w:rPr>
          <w:rFonts w:hint="default" w:ascii="Times New Roman" w:hAnsi="Times New Roman" w:eastAsia="方正仿宋_GBK" w:cs="Times New Roman"/>
          <w:highlight w:val="none"/>
        </w:rPr>
        <w:t>亩，稻田</w:t>
      </w:r>
      <w:r>
        <w:rPr>
          <w:rFonts w:hint="default" w:ascii="Times New Roman" w:hAnsi="Times New Roman" w:eastAsia="方正仿宋_GBK" w:cs="Times New Roman"/>
          <w:highlight w:val="none"/>
          <w:lang w:val="en-US" w:eastAsia="zh-CN"/>
        </w:rPr>
        <w:t>10200</w:t>
      </w:r>
      <w:r>
        <w:rPr>
          <w:rFonts w:hint="default" w:ascii="Times New Roman" w:hAnsi="Times New Roman" w:eastAsia="方正仿宋_GBK" w:cs="Times New Roman"/>
          <w:highlight w:val="none"/>
        </w:rPr>
        <w:t>亩。全年水产品产量</w:t>
      </w:r>
      <w:r>
        <w:rPr>
          <w:rFonts w:hint="default" w:ascii="Times New Roman" w:hAnsi="Times New Roman" w:eastAsia="方正仿宋_GBK" w:cs="Times New Roman"/>
          <w:highlight w:val="none"/>
          <w:lang w:val="en-US" w:eastAsia="zh-CN"/>
        </w:rPr>
        <w:t>1950</w:t>
      </w:r>
      <w:r>
        <w:rPr>
          <w:rFonts w:hint="default" w:ascii="Times New Roman" w:hAnsi="Times New Roman" w:eastAsia="方正仿宋_GBK" w:cs="Times New Roman"/>
          <w:highlight w:val="none"/>
        </w:rPr>
        <w:t>吨，增长</w:t>
      </w: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全县年末乡村劳动力</w:t>
      </w:r>
      <w:r>
        <w:rPr>
          <w:rFonts w:hint="default" w:ascii="Times New Roman" w:hAnsi="Times New Roman" w:eastAsia="方正仿宋_GBK" w:cs="Times New Roman"/>
          <w:highlight w:val="none"/>
          <w:lang w:val="en-US" w:eastAsia="zh-CN"/>
        </w:rPr>
        <w:t>134068</w:t>
      </w:r>
      <w:r>
        <w:rPr>
          <w:rFonts w:hint="default" w:ascii="Times New Roman" w:hAnsi="Times New Roman" w:eastAsia="方正仿宋_GBK" w:cs="Times New Roman"/>
          <w:highlight w:val="none"/>
        </w:rPr>
        <w:t>人。全年完成农田建设</w:t>
      </w:r>
      <w:r>
        <w:rPr>
          <w:rFonts w:hint="default" w:ascii="Times New Roman" w:hAnsi="Times New Roman" w:eastAsia="方正仿宋_GBK" w:cs="Times New Roman"/>
          <w:highlight w:val="none"/>
          <w:lang w:val="en-US" w:eastAsia="zh-CN"/>
        </w:rPr>
        <w:t>2.71</w:t>
      </w:r>
      <w:r>
        <w:rPr>
          <w:rFonts w:hint="default" w:ascii="Times New Roman" w:hAnsi="Times New Roman" w:eastAsia="方正仿宋_GBK" w:cs="Times New Roman"/>
          <w:highlight w:val="none"/>
        </w:rPr>
        <w:t>万亩，年末实有常用耕地面积</w:t>
      </w:r>
      <w:r>
        <w:rPr>
          <w:rFonts w:hint="default" w:ascii="Times New Roman" w:hAnsi="Times New Roman" w:eastAsia="方正仿宋_GBK" w:cs="Times New Roman"/>
          <w:highlight w:val="none"/>
          <w:lang w:val="en-US" w:eastAsia="zh-CN"/>
        </w:rPr>
        <w:t>337716.5</w:t>
      </w:r>
      <w:r>
        <w:rPr>
          <w:rFonts w:hint="default" w:ascii="Times New Roman" w:hAnsi="Times New Roman" w:eastAsia="方正仿宋_GBK" w:cs="Times New Roman"/>
          <w:highlight w:val="none"/>
        </w:rPr>
        <w:t>亩，其中：田</w:t>
      </w:r>
      <w:r>
        <w:rPr>
          <w:rFonts w:hint="default" w:ascii="Times New Roman" w:hAnsi="Times New Roman" w:eastAsia="方正仿宋_GBK" w:cs="Times New Roman"/>
          <w:highlight w:val="none"/>
          <w:lang w:val="en-US" w:eastAsia="zh-CN"/>
        </w:rPr>
        <w:t>84204</w:t>
      </w:r>
      <w:r>
        <w:rPr>
          <w:rFonts w:hint="default" w:ascii="Times New Roman" w:hAnsi="Times New Roman" w:eastAsia="方正仿宋_GBK" w:cs="Times New Roman"/>
          <w:highlight w:val="none"/>
        </w:rPr>
        <w:t>亩，地</w:t>
      </w:r>
      <w:r>
        <w:rPr>
          <w:rFonts w:hint="default" w:ascii="Times New Roman" w:hAnsi="Times New Roman" w:eastAsia="方正仿宋_GBK" w:cs="Times New Roman"/>
          <w:highlight w:val="none"/>
          <w:lang w:val="en-US" w:eastAsia="zh-CN"/>
        </w:rPr>
        <w:t>259417.5</w:t>
      </w:r>
      <w:r>
        <w:rPr>
          <w:rFonts w:hint="default" w:ascii="Times New Roman" w:hAnsi="Times New Roman" w:eastAsia="方正仿宋_GBK" w:cs="Times New Roman"/>
          <w:highlight w:val="none"/>
        </w:rPr>
        <w:t>亩（含水浇地</w:t>
      </w:r>
      <w:r>
        <w:rPr>
          <w:rFonts w:hint="default" w:ascii="Times New Roman" w:hAnsi="Times New Roman" w:eastAsia="方正仿宋_GBK" w:cs="Times New Roman"/>
          <w:highlight w:val="none"/>
          <w:lang w:val="en-US" w:eastAsia="zh-CN"/>
        </w:rPr>
        <w:t>4673.25</w:t>
      </w:r>
      <w:r>
        <w:rPr>
          <w:rFonts w:hint="default" w:ascii="Times New Roman" w:hAnsi="Times New Roman" w:eastAsia="方正仿宋_GBK" w:cs="Times New Roman"/>
          <w:highlight w:val="none"/>
        </w:rPr>
        <w:t>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全年有效灌溉面积160800亩，水利化程度达47.61%。全县年末实有水库48座，其中：中型水库4座，小型水库44座，水库总库容10928.8万立方米；小坝塘170座，总库容291.283万立方米。全年完成供水量7590.2万立方米，其中：农业供水5246.2万立方米；工业供水1409万立方米；城镇生活供水502万立方米；农村生活供水388万立方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化肥施用量</w:t>
      </w:r>
      <w:r>
        <w:rPr>
          <w:rFonts w:hint="default" w:ascii="Times New Roman" w:hAnsi="Times New Roman" w:eastAsia="方正仿宋_GBK" w:cs="Times New Roman"/>
          <w:highlight w:val="none"/>
          <w:lang w:val="en-US" w:eastAsia="zh-CN"/>
        </w:rPr>
        <w:t>45683.86</w:t>
      </w:r>
      <w:r>
        <w:rPr>
          <w:rFonts w:hint="default" w:ascii="Times New Roman" w:hAnsi="Times New Roman" w:eastAsia="方正仿宋_GBK" w:cs="Times New Roman"/>
          <w:highlight w:val="none"/>
        </w:rPr>
        <w:t>吨，比上年减少</w:t>
      </w:r>
      <w:r>
        <w:rPr>
          <w:rFonts w:hint="default" w:ascii="Times New Roman" w:hAnsi="Times New Roman" w:eastAsia="方正仿宋_GBK" w:cs="Times New Roman"/>
          <w:highlight w:val="none"/>
          <w:lang w:val="en-US" w:eastAsia="zh-CN"/>
        </w:rPr>
        <w:t>1398</w:t>
      </w:r>
      <w:r>
        <w:rPr>
          <w:rFonts w:hint="default" w:ascii="Times New Roman" w:hAnsi="Times New Roman" w:eastAsia="方正仿宋_GBK" w:cs="Times New Roman"/>
          <w:highlight w:val="none"/>
        </w:rPr>
        <w:t>吨，下降</w:t>
      </w: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rPr>
        <w:t>%；农药使用量</w:t>
      </w:r>
      <w:r>
        <w:rPr>
          <w:rFonts w:hint="default" w:ascii="Times New Roman" w:hAnsi="Times New Roman" w:eastAsia="方正仿宋_GBK" w:cs="Times New Roman"/>
          <w:highlight w:val="none"/>
          <w:lang w:val="en-US" w:eastAsia="zh-CN"/>
        </w:rPr>
        <w:t>524.01</w:t>
      </w:r>
      <w:r>
        <w:rPr>
          <w:rFonts w:hint="default" w:ascii="Times New Roman" w:hAnsi="Times New Roman" w:eastAsia="方正仿宋_GBK" w:cs="Times New Roman"/>
          <w:highlight w:val="none"/>
        </w:rPr>
        <w:t>吨，比上年减少</w:t>
      </w:r>
      <w:r>
        <w:rPr>
          <w:rFonts w:hint="default" w:ascii="Times New Roman" w:hAnsi="Times New Roman" w:eastAsia="方正仿宋_GBK" w:cs="Times New Roman"/>
          <w:highlight w:val="none"/>
          <w:lang w:val="en-US" w:eastAsia="zh-CN"/>
        </w:rPr>
        <w:t>37</w:t>
      </w:r>
      <w:r>
        <w:rPr>
          <w:rFonts w:hint="default" w:ascii="Times New Roman" w:hAnsi="Times New Roman" w:eastAsia="方正仿宋_GBK" w:cs="Times New Roman"/>
          <w:highlight w:val="none"/>
        </w:rPr>
        <w:t>吨，下降</w:t>
      </w:r>
      <w:r>
        <w:rPr>
          <w:rFonts w:hint="default" w:ascii="Times New Roman" w:hAnsi="Times New Roman" w:eastAsia="方正仿宋_GBK" w:cs="Times New Roman"/>
          <w:highlight w:val="none"/>
          <w:lang w:val="en-US" w:eastAsia="zh-CN"/>
        </w:rPr>
        <w:t>6.5</w:t>
      </w:r>
      <w:r>
        <w:rPr>
          <w:rFonts w:hint="default" w:ascii="Times New Roman" w:hAnsi="Times New Roman" w:eastAsia="方正仿宋_GBK" w:cs="Times New Roman"/>
          <w:highlight w:val="none"/>
        </w:rPr>
        <w:t>%；农膜使用量</w:t>
      </w:r>
      <w:r>
        <w:rPr>
          <w:rFonts w:hint="default" w:ascii="Times New Roman" w:hAnsi="Times New Roman" w:eastAsia="方正仿宋_GBK" w:cs="Times New Roman"/>
          <w:highlight w:val="none"/>
          <w:lang w:val="en-US" w:eastAsia="zh-CN"/>
        </w:rPr>
        <w:t>574.82</w:t>
      </w:r>
      <w:r>
        <w:rPr>
          <w:rFonts w:hint="default" w:ascii="Times New Roman" w:hAnsi="Times New Roman" w:eastAsia="方正仿宋_GBK" w:cs="Times New Roman"/>
          <w:highlight w:val="none"/>
        </w:rPr>
        <w:t>吨，比上年</w:t>
      </w:r>
      <w:r>
        <w:rPr>
          <w:rFonts w:hint="default" w:ascii="Times New Roman" w:hAnsi="Times New Roman" w:eastAsia="方正仿宋_GBK" w:cs="Times New Roman"/>
          <w:highlight w:val="none"/>
          <w:lang w:eastAsia="zh-CN"/>
        </w:rPr>
        <w:t>增加</w:t>
      </w:r>
      <w:r>
        <w:rPr>
          <w:rFonts w:hint="default" w:ascii="Times New Roman" w:hAnsi="Times New Roman" w:eastAsia="方正仿宋_GBK" w:cs="Times New Roman"/>
          <w:highlight w:val="none"/>
          <w:lang w:val="en-US" w:eastAsia="zh-CN"/>
        </w:rPr>
        <w:t>5</w:t>
      </w:r>
      <w:r>
        <w:rPr>
          <w:rFonts w:hint="default" w:ascii="Times New Roman" w:hAnsi="Times New Roman" w:eastAsia="方正仿宋_GBK" w:cs="Times New Roman"/>
          <w:highlight w:val="none"/>
        </w:rPr>
        <w:t>吨，</w:t>
      </w:r>
      <w:r>
        <w:rPr>
          <w:rFonts w:hint="default" w:ascii="Times New Roman" w:hAnsi="Times New Roman" w:eastAsia="方正仿宋_GBK" w:cs="Times New Roman"/>
          <w:highlight w:val="none"/>
          <w:lang w:eastAsia="zh-CN"/>
        </w:rPr>
        <w:t>增长</w:t>
      </w:r>
      <w:r>
        <w:rPr>
          <w:rFonts w:hint="default" w:ascii="Times New Roman" w:hAnsi="Times New Roman" w:eastAsia="方正仿宋_GBK" w:cs="Times New Roman"/>
          <w:highlight w:val="none"/>
          <w:lang w:val="en-US" w:eastAsia="zh-CN"/>
        </w:rPr>
        <w:t>0.8</w:t>
      </w:r>
      <w:r>
        <w:rPr>
          <w:rFonts w:hint="default" w:ascii="Times New Roman" w:hAnsi="Times New Roman" w:eastAsia="方正仿宋_GBK" w:cs="Times New Roman"/>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年，全县年末农业机械总动力达</w:t>
      </w:r>
      <w:r>
        <w:rPr>
          <w:rFonts w:hint="default" w:ascii="Times New Roman" w:hAnsi="Times New Roman" w:eastAsia="方正仿宋_GBK" w:cs="Times New Roman"/>
          <w:highlight w:val="none"/>
          <w:lang w:val="en-US" w:eastAsia="zh-CN"/>
        </w:rPr>
        <w:t>9.54</w:t>
      </w:r>
      <w:r>
        <w:rPr>
          <w:rFonts w:hint="default" w:ascii="Times New Roman" w:hAnsi="Times New Roman" w:eastAsia="方正仿宋_GBK" w:cs="Times New Roman"/>
          <w:highlight w:val="none"/>
        </w:rPr>
        <w:t>万千瓦，其中：拖拉机</w:t>
      </w:r>
      <w:r>
        <w:rPr>
          <w:rFonts w:hint="default" w:ascii="Times New Roman" w:hAnsi="Times New Roman" w:eastAsia="方正仿宋_GBK" w:cs="Times New Roman"/>
          <w:highlight w:val="none"/>
          <w:lang w:val="en-US" w:eastAsia="zh-CN"/>
        </w:rPr>
        <w:t>1013</w:t>
      </w:r>
      <w:r>
        <w:rPr>
          <w:rFonts w:hint="default" w:ascii="Times New Roman" w:hAnsi="Times New Roman" w:eastAsia="方正仿宋_GBK" w:cs="Times New Roman"/>
          <w:highlight w:val="none"/>
        </w:rPr>
        <w:t>台</w:t>
      </w:r>
      <w:r>
        <w:rPr>
          <w:rFonts w:hint="default" w:ascii="Times New Roman" w:hAnsi="Times New Roman" w:eastAsia="方正仿宋_GBK" w:cs="Times New Roman"/>
          <w:highlight w:val="none"/>
          <w:lang w:val="en-US" w:eastAsia="zh-CN"/>
        </w:rPr>
        <w:t>1.07</w:t>
      </w:r>
      <w:r>
        <w:rPr>
          <w:rFonts w:hint="default" w:ascii="Times New Roman" w:hAnsi="Times New Roman" w:eastAsia="方正仿宋_GBK" w:cs="Times New Roman"/>
          <w:highlight w:val="none"/>
        </w:rPr>
        <w:t>万千瓦。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四、工业、建筑业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 20</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年，全县实现现价工业总产值475137万元，下降16.5%。增加值</w:t>
      </w:r>
      <w:r>
        <w:rPr>
          <w:rFonts w:hint="default" w:ascii="Times New Roman" w:hAnsi="Times New Roman" w:eastAsia="方正仿宋_GBK" w:cs="Times New Roman"/>
          <w:highlight w:val="none"/>
          <w:lang w:val="en-US" w:eastAsia="zh-CN"/>
        </w:rPr>
        <w:t>172280</w:t>
      </w:r>
      <w:r>
        <w:rPr>
          <w:rFonts w:hint="default" w:ascii="Times New Roman" w:hAnsi="Times New Roman" w:eastAsia="方正仿宋_GBK" w:cs="Times New Roman"/>
          <w:highlight w:val="none"/>
        </w:rPr>
        <w:t>万元，</w:t>
      </w:r>
      <w:r>
        <w:rPr>
          <w:rFonts w:hint="default" w:ascii="Times New Roman" w:hAnsi="Times New Roman" w:eastAsia="方正仿宋_GBK" w:cs="Times New Roman"/>
          <w:highlight w:val="none"/>
          <w:lang w:eastAsia="zh-CN"/>
        </w:rPr>
        <w:t>下降</w:t>
      </w:r>
      <w:r>
        <w:rPr>
          <w:rFonts w:hint="default" w:ascii="Times New Roman" w:hAnsi="Times New Roman" w:eastAsia="方正仿宋_GBK" w:cs="Times New Roman"/>
          <w:highlight w:val="none"/>
          <w:lang w:val="en-US" w:eastAsia="zh-CN"/>
        </w:rPr>
        <w:t>10.1</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负</w:t>
      </w:r>
      <w:r>
        <w:rPr>
          <w:rFonts w:hint="default" w:ascii="Times New Roman" w:hAnsi="Times New Roman" w:eastAsia="方正仿宋_GBK" w:cs="Times New Roman"/>
          <w:highlight w:val="none"/>
        </w:rPr>
        <w:t>拉动GDP</w:t>
      </w:r>
      <w:r>
        <w:rPr>
          <w:rFonts w:hint="default" w:ascii="Times New Roman" w:hAnsi="Times New Roman" w:eastAsia="方正仿宋_GBK" w:cs="Times New Roman"/>
          <w:highlight w:val="none"/>
          <w:lang w:val="en-US" w:eastAsia="zh-CN"/>
        </w:rPr>
        <w:t>2.1</w:t>
      </w:r>
      <w:r>
        <w:rPr>
          <w:rFonts w:hint="default" w:ascii="Times New Roman" w:hAnsi="Times New Roman" w:eastAsia="方正仿宋_GBK" w:cs="Times New Roman"/>
          <w:highlight w:val="none"/>
        </w:rPr>
        <w:t>个百分点，其中：规模以上工业企业（年主营业务收入2000万元以上独立核算）共</w:t>
      </w:r>
      <w:r>
        <w:rPr>
          <w:rFonts w:hint="default" w:ascii="Times New Roman" w:hAnsi="Times New Roman" w:eastAsia="方正仿宋_GBK" w:cs="Times New Roman"/>
          <w:highlight w:val="none"/>
          <w:lang w:val="en-US" w:eastAsia="zh-CN"/>
        </w:rPr>
        <w:t>23</w:t>
      </w:r>
      <w:r>
        <w:rPr>
          <w:rFonts w:hint="default" w:ascii="Times New Roman" w:hAnsi="Times New Roman" w:eastAsia="方正仿宋_GBK" w:cs="Times New Roman"/>
          <w:highlight w:val="none"/>
        </w:rPr>
        <w:t>家，实现产值 338874万元，下降22.9 %；增加值下降17.5%。非公有制工业增加值占全部工业增加值比重达</w:t>
      </w:r>
      <w:r>
        <w:rPr>
          <w:rFonts w:hint="default" w:ascii="Times New Roman" w:hAnsi="Times New Roman" w:eastAsia="方正仿宋_GBK" w:cs="Times New Roman"/>
          <w:highlight w:val="none"/>
          <w:lang w:val="en-US" w:eastAsia="zh-CN"/>
        </w:rPr>
        <w:t>65.5</w:t>
      </w:r>
      <w:r>
        <w:rPr>
          <w:rFonts w:hint="default" w:ascii="Times New Roman" w:hAnsi="Times New Roman" w:eastAsia="方正仿宋_GBK" w:cs="Times New Roman"/>
          <w:highlight w:val="none"/>
        </w:rPr>
        <w:t>%。</w:t>
      </w:r>
    </w:p>
    <w:p>
      <w:pPr>
        <w:spacing w:line="600" w:lineRule="exact"/>
        <w:rPr>
          <w:rFonts w:hint="default" w:ascii="Times New Roman" w:hAnsi="Times New Roman" w:eastAsia="方正仿宋_GBK" w:cs="Times New Roman"/>
          <w:highlight w:val="none"/>
        </w:rPr>
      </w:pPr>
      <w:r>
        <w:rPr>
          <w:rFonts w:hint="default" w:ascii="Times New Roman" w:hAnsi="Times New Roman" w:cs="Times New Roman"/>
          <w:highlight w:val="none"/>
        </w:rPr>
        <w:drawing>
          <wp:anchor distT="0" distB="0" distL="114300" distR="114300" simplePos="0" relativeHeight="251666432" behindDoc="0" locked="0" layoutInCell="1" allowOverlap="1">
            <wp:simplePos x="0" y="0"/>
            <wp:positionH relativeFrom="column">
              <wp:posOffset>563245</wp:posOffset>
            </wp:positionH>
            <wp:positionV relativeFrom="paragraph">
              <wp:posOffset>147320</wp:posOffset>
            </wp:positionV>
            <wp:extent cx="4686300" cy="2895600"/>
            <wp:effectExtent l="4445" t="5080" r="14605" b="13970"/>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default" w:ascii="Times New Roman" w:hAnsi="Times New Roman" w:eastAsia="方正仿宋_GBK" w:cs="Times New Roman"/>
          <w:highlight w:val="none"/>
        </w:rPr>
      </w:pPr>
    </w:p>
    <w:p>
      <w:pPr>
        <w:spacing w:line="600" w:lineRule="exact"/>
        <w:ind w:firstLine="640" w:firstLineChars="200"/>
        <w:rPr>
          <w:rFonts w:hint="default" w:ascii="Times New Roman" w:hAnsi="Times New Roman" w:eastAsia="方正仿宋_GBK" w:cs="Times New Roman"/>
          <w:highlight w:val="none"/>
        </w:rPr>
      </w:pPr>
    </w:p>
    <w:p>
      <w:pPr>
        <w:spacing w:line="600" w:lineRule="exact"/>
        <w:ind w:firstLine="640" w:firstLineChars="200"/>
        <w:rPr>
          <w:rFonts w:hint="default" w:ascii="Times New Roman" w:hAnsi="Times New Roman" w:eastAsia="方正仿宋_GBK" w:cs="Times New Roman"/>
          <w:highlight w:val="none"/>
        </w:rPr>
      </w:pPr>
    </w:p>
    <w:p>
      <w:pPr>
        <w:spacing w:line="600" w:lineRule="exact"/>
        <w:ind w:firstLine="640" w:firstLineChars="200"/>
        <w:rPr>
          <w:rFonts w:hint="default" w:ascii="Times New Roman" w:hAnsi="Times New Roman" w:eastAsia="方正仿宋_GBK" w:cs="Times New Roman"/>
          <w:highlight w:val="none"/>
        </w:rPr>
      </w:pPr>
    </w:p>
    <w:p>
      <w:pPr>
        <w:spacing w:line="600" w:lineRule="exact"/>
        <w:ind w:firstLine="640" w:firstLineChars="200"/>
        <w:rPr>
          <w:rFonts w:hint="default" w:ascii="Times New Roman" w:hAnsi="Times New Roman" w:eastAsia="方正仿宋_GBK" w:cs="Times New Roman"/>
          <w:highlight w:val="none"/>
        </w:rPr>
      </w:pPr>
    </w:p>
    <w:p>
      <w:pPr>
        <w:spacing w:line="600" w:lineRule="exact"/>
        <w:ind w:firstLine="640" w:firstLineChars="200"/>
        <w:rPr>
          <w:rFonts w:hint="default" w:ascii="Times New Roman" w:hAnsi="Times New Roman" w:eastAsia="方正仿宋_GBK" w:cs="Times New Roman"/>
          <w:highlight w:val="none"/>
        </w:rPr>
      </w:pPr>
    </w:p>
    <w:p>
      <w:pPr>
        <w:spacing w:line="600" w:lineRule="exact"/>
        <w:rPr>
          <w:rFonts w:hint="default" w:ascii="Times New Roman" w:hAnsi="Times New Roman" w:eastAsia="方正仿宋_GBK" w:cs="Times New Roman"/>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全年实现建筑业增加值</w:t>
      </w:r>
      <w:r>
        <w:rPr>
          <w:rFonts w:hint="default" w:ascii="Times New Roman" w:hAnsi="Times New Roman" w:eastAsia="方正仿宋_GBK" w:cs="Times New Roman"/>
          <w:highlight w:val="none"/>
          <w:lang w:val="en-US" w:eastAsia="zh-CN"/>
        </w:rPr>
        <w:t>163933</w:t>
      </w:r>
      <w:r>
        <w:rPr>
          <w:rFonts w:hint="default" w:ascii="Times New Roman" w:hAnsi="Times New Roman" w:eastAsia="方正仿宋_GBK" w:cs="Times New Roman"/>
          <w:highlight w:val="none"/>
        </w:rPr>
        <w:t>万元，可比价增长</w:t>
      </w:r>
      <w:r>
        <w:rPr>
          <w:rFonts w:hint="default" w:ascii="Times New Roman" w:hAnsi="Times New Roman" w:eastAsia="方正仿宋_GBK" w:cs="Times New Roman"/>
          <w:highlight w:val="none"/>
          <w:lang w:val="en-US" w:eastAsia="zh-CN"/>
        </w:rPr>
        <w:t>6.2</w:t>
      </w:r>
      <w:r>
        <w:rPr>
          <w:rFonts w:hint="default" w:ascii="Times New Roman" w:hAnsi="Times New Roman" w:eastAsia="方正仿宋_GBK" w:cs="Times New Roman"/>
          <w:highlight w:val="none"/>
        </w:rPr>
        <w:t>%，现价增长</w:t>
      </w:r>
      <w:r>
        <w:rPr>
          <w:rFonts w:hint="default" w:ascii="Times New Roman" w:hAnsi="Times New Roman" w:eastAsia="方正仿宋_GBK" w:cs="Times New Roman"/>
          <w:highlight w:val="none"/>
          <w:lang w:val="en-US" w:eastAsia="zh-CN"/>
        </w:rPr>
        <w:t>5.6</w:t>
      </w:r>
      <w:r>
        <w:rPr>
          <w:rFonts w:hint="default" w:ascii="Times New Roman" w:hAnsi="Times New Roman" w:eastAsia="方正仿宋_GBK" w:cs="Times New Roman"/>
          <w:highlight w:val="none"/>
        </w:rPr>
        <w:t>%，对GDP贡献率为</w:t>
      </w:r>
      <w:r>
        <w:rPr>
          <w:rFonts w:hint="default" w:ascii="Times New Roman" w:hAnsi="Times New Roman" w:eastAsia="方正仿宋_GBK" w:cs="Times New Roman"/>
          <w:highlight w:val="none"/>
          <w:lang w:val="en-US" w:eastAsia="zh-CN"/>
        </w:rPr>
        <w:t>47.2</w:t>
      </w:r>
      <w:r>
        <w:rPr>
          <w:rFonts w:hint="default" w:ascii="Times New Roman" w:hAnsi="Times New Roman" w:eastAsia="方正仿宋_GBK" w:cs="Times New Roman"/>
          <w:highlight w:val="none"/>
        </w:rPr>
        <w:t>%，拉动GDP增长</w:t>
      </w:r>
      <w:r>
        <w:rPr>
          <w:rFonts w:hint="default" w:ascii="Times New Roman" w:hAnsi="Times New Roman" w:eastAsia="方正仿宋_GBK" w:cs="Times New Roman"/>
          <w:highlight w:val="none"/>
          <w:lang w:val="en-US" w:eastAsia="zh-CN"/>
        </w:rPr>
        <w:t>0.8</w:t>
      </w:r>
      <w:r>
        <w:rPr>
          <w:rFonts w:hint="default" w:ascii="Times New Roman" w:hAnsi="Times New Roman" w:eastAsia="方正仿宋_GBK" w:cs="Times New Roman"/>
          <w:highlight w:val="none"/>
        </w:rPr>
        <w:t>个百分点</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资质以上建筑企业共有</w:t>
      </w:r>
      <w:r>
        <w:rPr>
          <w:rFonts w:hint="default" w:ascii="Times New Roman" w:hAnsi="Times New Roman" w:eastAsia="方正仿宋_GBK" w:cs="Times New Roman"/>
          <w:highlight w:val="none"/>
          <w:lang w:val="en-US" w:eastAsia="zh-CN"/>
        </w:rPr>
        <w:t>15</w:t>
      </w:r>
      <w:r>
        <w:rPr>
          <w:rFonts w:hint="default" w:ascii="Times New Roman" w:hAnsi="Times New Roman" w:eastAsia="方正仿宋_GBK" w:cs="Times New Roman"/>
          <w:highlight w:val="none"/>
        </w:rPr>
        <w:t>户，其中：3级资质</w:t>
      </w:r>
      <w:r>
        <w:rPr>
          <w:rFonts w:hint="default" w:ascii="Times New Roman" w:hAnsi="Times New Roman" w:eastAsia="方正仿宋_GBK" w:cs="Times New Roman"/>
          <w:highlight w:val="none"/>
          <w:lang w:val="en-US" w:eastAsia="zh-CN"/>
        </w:rPr>
        <w:t>14</w:t>
      </w:r>
      <w:r>
        <w:rPr>
          <w:rFonts w:hint="default" w:ascii="Times New Roman" w:hAnsi="Times New Roman" w:eastAsia="方正仿宋_GBK" w:cs="Times New Roman"/>
          <w:highlight w:val="none"/>
        </w:rPr>
        <w:t>户，2级资质</w:t>
      </w:r>
      <w:r>
        <w:rPr>
          <w:rFonts w:hint="default" w:ascii="Times New Roman" w:hAnsi="Times New Roman" w:eastAsia="方正仿宋_GBK" w:cs="Times New Roman"/>
          <w:highlight w:val="none"/>
          <w:lang w:val="en-US" w:eastAsia="zh-CN"/>
        </w:rPr>
        <w:t>1</w:t>
      </w:r>
      <w:r>
        <w:rPr>
          <w:rFonts w:hint="default" w:ascii="Times New Roman" w:hAnsi="Times New Roman" w:eastAsia="方正仿宋_GBK" w:cs="Times New Roman"/>
          <w:highlight w:val="none"/>
        </w:rPr>
        <w:t>户。实现资质以上建筑企业总产值</w:t>
      </w:r>
      <w:r>
        <w:rPr>
          <w:rFonts w:hint="default" w:ascii="Times New Roman" w:hAnsi="Times New Roman" w:eastAsia="方正仿宋_GBK" w:cs="Times New Roman"/>
          <w:highlight w:val="none"/>
          <w:lang w:val="en-US" w:eastAsia="zh-CN"/>
        </w:rPr>
        <w:t>239591.8</w:t>
      </w:r>
      <w:r>
        <w:rPr>
          <w:rFonts w:hint="default" w:ascii="Times New Roman" w:hAnsi="Times New Roman" w:eastAsia="方正仿宋_GBK" w:cs="Times New Roman"/>
          <w:highlight w:val="none"/>
        </w:rPr>
        <w:t>万元，增长</w:t>
      </w:r>
      <w:r>
        <w:rPr>
          <w:rFonts w:hint="default" w:ascii="Times New Roman" w:hAnsi="Times New Roman" w:eastAsia="方正仿宋_GBK" w:cs="Times New Roman"/>
          <w:highlight w:val="none"/>
          <w:lang w:val="en-US" w:eastAsia="zh-CN"/>
        </w:rPr>
        <w:t>10.2</w:t>
      </w:r>
      <w:r>
        <w:rPr>
          <w:rFonts w:hint="default" w:ascii="Times New Roman" w:hAnsi="Times New Roman" w:eastAsia="方正仿宋_GBK" w:cs="Times New Roman"/>
          <w:highlight w:val="none"/>
        </w:rPr>
        <w:t>%；实现合同额</w:t>
      </w:r>
      <w:r>
        <w:rPr>
          <w:rFonts w:hint="default" w:ascii="Times New Roman" w:hAnsi="Times New Roman" w:eastAsia="方正仿宋_GBK" w:cs="Times New Roman"/>
          <w:highlight w:val="none"/>
          <w:lang w:val="en-US" w:eastAsia="zh-CN"/>
        </w:rPr>
        <w:t>249388</w:t>
      </w:r>
      <w:r>
        <w:rPr>
          <w:rFonts w:hint="default" w:ascii="Times New Roman" w:hAnsi="Times New Roman" w:eastAsia="方正仿宋_GBK" w:cs="Times New Roman"/>
          <w:highlight w:val="none"/>
        </w:rPr>
        <w:t>万元，增长</w:t>
      </w:r>
      <w:r>
        <w:rPr>
          <w:rFonts w:hint="default" w:ascii="Times New Roman" w:hAnsi="Times New Roman" w:eastAsia="方正仿宋_GBK" w:cs="Times New Roman"/>
          <w:highlight w:val="none"/>
          <w:lang w:val="en-US" w:eastAsia="zh-CN"/>
        </w:rPr>
        <w:t>6.6</w:t>
      </w:r>
      <w:r>
        <w:rPr>
          <w:rFonts w:hint="default" w:ascii="Times New Roman" w:hAnsi="Times New Roman" w:eastAsia="方正仿宋_GBK" w:cs="Times New Roman"/>
          <w:highlight w:val="none"/>
        </w:rPr>
        <w:t>%；实现新增合同额</w:t>
      </w:r>
      <w:r>
        <w:rPr>
          <w:rFonts w:hint="default" w:ascii="Times New Roman" w:hAnsi="Times New Roman" w:eastAsia="方正仿宋_GBK" w:cs="Times New Roman"/>
          <w:highlight w:val="none"/>
          <w:lang w:val="en-US" w:eastAsia="zh-CN"/>
        </w:rPr>
        <w:t>201328</w:t>
      </w:r>
      <w:r>
        <w:rPr>
          <w:rFonts w:hint="default" w:ascii="Times New Roman" w:hAnsi="Times New Roman" w:eastAsia="方正仿宋_GBK" w:cs="Times New Roman"/>
          <w:highlight w:val="none"/>
        </w:rPr>
        <w:t>万元，下降7.5%；期末从业人员</w:t>
      </w:r>
      <w:r>
        <w:rPr>
          <w:rFonts w:hint="default" w:ascii="Times New Roman" w:hAnsi="Times New Roman" w:eastAsia="方正仿宋_GBK" w:cs="Times New Roman"/>
          <w:highlight w:val="none"/>
          <w:lang w:val="en-US" w:eastAsia="zh-CN"/>
        </w:rPr>
        <w:t>5934</w:t>
      </w:r>
      <w:r>
        <w:rPr>
          <w:rFonts w:hint="default" w:ascii="Times New Roman" w:hAnsi="Times New Roman" w:eastAsia="方正仿宋_GBK" w:cs="Times New Roman"/>
          <w:highlight w:val="none"/>
        </w:rPr>
        <w:t>人，增长</w:t>
      </w:r>
      <w:r>
        <w:rPr>
          <w:rFonts w:hint="default" w:ascii="Times New Roman" w:hAnsi="Times New Roman" w:eastAsia="方正仿宋_GBK" w:cs="Times New Roman"/>
          <w:highlight w:val="none"/>
          <w:lang w:val="en-US" w:eastAsia="zh-CN"/>
        </w:rPr>
        <w:t>18.3</w:t>
      </w:r>
      <w:r>
        <w:rPr>
          <w:rFonts w:hint="default" w:ascii="Times New Roman" w:hAnsi="Times New Roman" w:eastAsia="方正仿宋_GBK" w:cs="Times New Roman"/>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五、固定资产投资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2020年，500万元及以上固定资产投资完成额同比下降16.6%，较上年同期回落22.4个百分点，增速低于全市水平15.1个百分点。其中：城镇投资下降12.2%；房地产开发投资下降33.8%。按三次产业划分，第一产业投资下降74.7%；第二产业投资下降15.2%；第三产业投资下降0.3%。一、二、三产业投资占总投资的比重分别为6.2%、7</w:t>
      </w:r>
      <w:r>
        <w:rPr>
          <w:rFonts w:hint="default" w:ascii="Times New Roman" w:hAnsi="Times New Roman" w:eastAsia="方正仿宋_GBK" w:cs="Times New Roman"/>
          <w:highlight w:val="none"/>
          <w:lang w:val="en-US" w:eastAsia="zh-CN"/>
        </w:rPr>
        <w:t>.0</w:t>
      </w:r>
      <w:r>
        <w:rPr>
          <w:rFonts w:hint="default" w:ascii="Times New Roman" w:hAnsi="Times New Roman" w:eastAsia="方正仿宋_GBK" w:cs="Times New Roman"/>
          <w:highlight w:val="none"/>
        </w:rPr>
        <w:t>%、86.8%。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从施工项目看，全年在库施工项目</w:t>
      </w:r>
      <w:r>
        <w:rPr>
          <w:rFonts w:hint="default" w:ascii="Times New Roman" w:hAnsi="Times New Roman" w:eastAsia="方正仿宋_GBK" w:cs="Times New Roman"/>
          <w:highlight w:val="none"/>
          <w:lang w:val="en-US" w:eastAsia="zh-CN"/>
        </w:rPr>
        <w:t>150</w:t>
      </w:r>
      <w:r>
        <w:rPr>
          <w:rFonts w:hint="default" w:ascii="Times New Roman" w:hAnsi="Times New Roman" w:eastAsia="方正仿宋_GBK" w:cs="Times New Roman"/>
          <w:highlight w:val="none"/>
        </w:rPr>
        <w:t>个，比上年减少19个，同比减少11.2%。其中：投资项目142个，房地产项目8个。</w:t>
      </w:r>
    </w:p>
    <w:p>
      <w:pPr>
        <w:spacing w:line="600" w:lineRule="exact"/>
        <w:ind w:firstLine="640" w:firstLineChars="200"/>
        <w:rPr>
          <w:rFonts w:hint="default" w:ascii="Times New Roman" w:hAnsi="Times New Roman" w:eastAsia="方正黑体_GBK" w:cs="Times New Roman"/>
          <w:highlight w:val="none"/>
        </w:rPr>
      </w:pPr>
      <w:r>
        <w:rPr>
          <w:rFonts w:hint="default" w:ascii="Times New Roman" w:hAnsi="Times New Roman" w:cs="Times New Roman"/>
          <w:highlight w:val="none"/>
        </w:rPr>
        <w:drawing>
          <wp:anchor distT="0" distB="0" distL="114300" distR="114300" simplePos="0" relativeHeight="251665408" behindDoc="0" locked="0" layoutInCell="1" allowOverlap="1">
            <wp:simplePos x="0" y="0"/>
            <wp:positionH relativeFrom="column">
              <wp:posOffset>648970</wp:posOffset>
            </wp:positionH>
            <wp:positionV relativeFrom="paragraph">
              <wp:posOffset>185420</wp:posOffset>
            </wp:positionV>
            <wp:extent cx="4599305" cy="2800350"/>
            <wp:effectExtent l="4445" t="4445" r="6350" b="1460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default" w:ascii="Times New Roman" w:hAnsi="Times New Roman" w:eastAsia="方正黑体_GBK" w:cs="Times New Roman"/>
          <w:highlight w:val="none"/>
        </w:rPr>
      </w:pPr>
    </w:p>
    <w:p>
      <w:pPr>
        <w:spacing w:line="600" w:lineRule="exact"/>
        <w:ind w:firstLine="640" w:firstLineChars="200"/>
        <w:rPr>
          <w:rFonts w:hint="default" w:ascii="Times New Roman" w:hAnsi="Times New Roman" w:eastAsia="方正黑体_GBK" w:cs="Times New Roman"/>
          <w:highlight w:val="none"/>
        </w:rPr>
      </w:pPr>
    </w:p>
    <w:p>
      <w:pPr>
        <w:spacing w:line="600" w:lineRule="exact"/>
        <w:ind w:firstLine="640" w:firstLineChars="200"/>
        <w:rPr>
          <w:rFonts w:hint="default" w:ascii="Times New Roman" w:hAnsi="Times New Roman" w:eastAsia="方正黑体_GBK" w:cs="Times New Roman"/>
          <w:highlight w:val="none"/>
        </w:rPr>
      </w:pPr>
    </w:p>
    <w:p>
      <w:pPr>
        <w:spacing w:line="600" w:lineRule="exact"/>
        <w:ind w:firstLine="640" w:firstLineChars="200"/>
        <w:rPr>
          <w:rFonts w:hint="default" w:ascii="Times New Roman" w:hAnsi="Times New Roman" w:eastAsia="方正黑体_GBK" w:cs="Times New Roman"/>
          <w:highlight w:val="none"/>
        </w:rPr>
      </w:pPr>
    </w:p>
    <w:p>
      <w:pPr>
        <w:spacing w:line="600" w:lineRule="exact"/>
        <w:ind w:firstLine="640" w:firstLineChars="200"/>
        <w:rPr>
          <w:rFonts w:hint="default" w:ascii="Times New Roman" w:hAnsi="Times New Roman" w:eastAsia="方正黑体_GBK" w:cs="Times New Roman"/>
          <w:highlight w:val="none"/>
        </w:rPr>
      </w:pPr>
    </w:p>
    <w:p>
      <w:pPr>
        <w:spacing w:line="600" w:lineRule="exact"/>
        <w:ind w:firstLine="640" w:firstLineChars="200"/>
        <w:rPr>
          <w:rFonts w:hint="default" w:ascii="Times New Roman" w:hAnsi="Times New Roman" w:eastAsia="方正黑体_GBK" w:cs="Times New Roman"/>
          <w:highlight w:val="none"/>
        </w:rPr>
      </w:pPr>
    </w:p>
    <w:p>
      <w:pPr>
        <w:spacing w:line="600" w:lineRule="exact"/>
        <w:ind w:firstLine="640" w:firstLineChars="200"/>
        <w:rPr>
          <w:rFonts w:hint="default" w:ascii="Times New Roman" w:hAnsi="Times New Roman" w:eastAsia="方正黑体_GBK" w:cs="Times New Roman"/>
          <w:highlight w:val="none"/>
        </w:rPr>
      </w:pPr>
    </w:p>
    <w:p>
      <w:pPr>
        <w:spacing w:line="600" w:lineRule="exact"/>
        <w:ind w:firstLine="640" w:firstLineChars="200"/>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六、交通运输和邮电业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2020年，</w:t>
      </w:r>
      <w:r>
        <w:rPr>
          <w:rFonts w:hint="default" w:ascii="Times New Roman" w:hAnsi="Times New Roman" w:eastAsia="方正仿宋_GBK" w:cs="Times New Roman"/>
          <w:highlight w:val="none"/>
          <w:lang w:eastAsia="zh-CN"/>
        </w:rPr>
        <w:t>实现</w:t>
      </w:r>
      <w:r>
        <w:rPr>
          <w:rFonts w:hint="default" w:ascii="Times New Roman" w:hAnsi="Times New Roman" w:eastAsia="方正仿宋_GBK" w:cs="Times New Roman"/>
          <w:highlight w:val="none"/>
        </w:rPr>
        <w:t>交通运输、仓储和邮政业增加值</w:t>
      </w:r>
      <w:r>
        <w:rPr>
          <w:rFonts w:hint="default" w:ascii="Times New Roman" w:hAnsi="Times New Roman" w:eastAsia="方正仿宋_GBK" w:cs="Times New Roman"/>
          <w:highlight w:val="none"/>
          <w:lang w:val="en-US" w:eastAsia="zh-CN"/>
        </w:rPr>
        <w:t>53949</w:t>
      </w:r>
      <w:r>
        <w:rPr>
          <w:rFonts w:hint="default" w:ascii="Times New Roman" w:hAnsi="Times New Roman" w:eastAsia="方正仿宋_GBK" w:cs="Times New Roman"/>
          <w:highlight w:val="none"/>
        </w:rPr>
        <w:t>万元，可比价增长</w:t>
      </w:r>
      <w:r>
        <w:rPr>
          <w:rFonts w:hint="default" w:ascii="Times New Roman" w:hAnsi="Times New Roman" w:eastAsia="方正仿宋_GBK" w:cs="Times New Roman"/>
          <w:highlight w:val="none"/>
          <w:lang w:val="en-US" w:eastAsia="zh-CN"/>
        </w:rPr>
        <w:t>7.1</w:t>
      </w:r>
      <w:r>
        <w:rPr>
          <w:rFonts w:hint="default" w:ascii="Times New Roman" w:hAnsi="Times New Roman" w:eastAsia="方正仿宋_GBK" w:cs="Times New Roman"/>
          <w:highlight w:val="none"/>
        </w:rPr>
        <w:t>%。年末，全县公路通车里程</w:t>
      </w:r>
      <w:r>
        <w:rPr>
          <w:rFonts w:hint="default" w:ascii="Times New Roman" w:hAnsi="Times New Roman" w:eastAsia="方正仿宋_GBK" w:cs="Times New Roman"/>
          <w:highlight w:val="none"/>
          <w:lang w:val="en-US" w:eastAsia="zh-CN"/>
        </w:rPr>
        <w:t>3097.992</w:t>
      </w:r>
      <w:r>
        <w:rPr>
          <w:rFonts w:hint="default" w:ascii="Times New Roman" w:hAnsi="Times New Roman" w:eastAsia="方正仿宋_GBK" w:cs="Times New Roman"/>
          <w:highlight w:val="none"/>
        </w:rPr>
        <w:t>公里；公路</w:t>
      </w:r>
      <w:r>
        <w:rPr>
          <w:rFonts w:hint="default" w:ascii="Times New Roman" w:hAnsi="Times New Roman" w:eastAsia="方正仿宋_GBK" w:cs="Times New Roman"/>
          <w:highlight w:val="none"/>
          <w:lang w:eastAsia="zh-CN"/>
        </w:rPr>
        <w:t>客、</w:t>
      </w:r>
      <w:r>
        <w:rPr>
          <w:rFonts w:hint="default" w:ascii="Times New Roman" w:hAnsi="Times New Roman" w:eastAsia="方正仿宋_GBK" w:cs="Times New Roman"/>
          <w:highlight w:val="none"/>
        </w:rPr>
        <w:t>货</w:t>
      </w:r>
      <w:r>
        <w:rPr>
          <w:rFonts w:hint="default" w:ascii="Times New Roman" w:hAnsi="Times New Roman" w:eastAsia="方正仿宋_GBK" w:cs="Times New Roman"/>
          <w:highlight w:val="none"/>
          <w:lang w:eastAsia="zh-CN"/>
        </w:rPr>
        <w:t>运总</w:t>
      </w:r>
      <w:r>
        <w:rPr>
          <w:rFonts w:hint="default" w:ascii="Times New Roman" w:hAnsi="Times New Roman" w:eastAsia="方正仿宋_GBK" w:cs="Times New Roman"/>
          <w:highlight w:val="none"/>
        </w:rPr>
        <w:t>周转量</w:t>
      </w:r>
      <w:r>
        <w:rPr>
          <w:rFonts w:hint="default" w:ascii="Times New Roman" w:hAnsi="Times New Roman" w:eastAsia="方正仿宋_GBK" w:cs="Times New Roman"/>
          <w:highlight w:val="none"/>
          <w:lang w:val="en-US" w:eastAsia="zh-CN"/>
        </w:rPr>
        <w:t>119112.8</w:t>
      </w:r>
      <w:r>
        <w:rPr>
          <w:rFonts w:hint="default" w:ascii="Times New Roman" w:hAnsi="Times New Roman" w:eastAsia="方正仿宋_GBK" w:cs="Times New Roman"/>
          <w:highlight w:val="none"/>
        </w:rPr>
        <w:t>万吨公里，增长</w:t>
      </w:r>
      <w:r>
        <w:rPr>
          <w:rFonts w:hint="default" w:ascii="Times New Roman" w:hAnsi="Times New Roman" w:eastAsia="方正仿宋_GBK" w:cs="Times New Roman"/>
          <w:highlight w:val="none"/>
          <w:lang w:val="en-US" w:eastAsia="zh-CN"/>
        </w:rPr>
        <w:t>15.3</w:t>
      </w:r>
      <w:r>
        <w:rPr>
          <w:rFonts w:hint="default" w:ascii="Times New Roman" w:hAnsi="Times New Roman" w:eastAsia="方正仿宋_GBK" w:cs="Times New Roman"/>
          <w:highlight w:val="none"/>
        </w:rPr>
        <w:t>%。</w:t>
      </w:r>
    </w:p>
    <w:p>
      <w:pPr>
        <w:spacing w:line="500" w:lineRule="exact"/>
        <w:jc w:val="center"/>
        <w:rPr>
          <w:rFonts w:hint="default" w:ascii="Times New Roman" w:hAnsi="Times New Roman" w:eastAsia="黑体" w:cs="Times New Roman"/>
          <w:bCs/>
          <w:sz w:val="28"/>
          <w:szCs w:val="28"/>
          <w:highlight w:val="none"/>
        </w:rPr>
      </w:pPr>
      <w:r>
        <w:rPr>
          <w:rFonts w:hint="default" w:ascii="Times New Roman" w:hAnsi="Times New Roman" w:eastAsia="黑体" w:cs="Times New Roman"/>
          <w:bCs/>
          <w:sz w:val="28"/>
          <w:szCs w:val="28"/>
          <w:highlight w:val="none"/>
        </w:rPr>
        <w:t>表4  20</w:t>
      </w:r>
      <w:r>
        <w:rPr>
          <w:rFonts w:hint="default" w:ascii="Times New Roman" w:hAnsi="Times New Roman" w:eastAsia="黑体" w:cs="Times New Roman"/>
          <w:bCs/>
          <w:sz w:val="28"/>
          <w:szCs w:val="28"/>
          <w:highlight w:val="none"/>
          <w:lang w:val="en-US" w:eastAsia="zh-CN"/>
        </w:rPr>
        <w:t>20</w:t>
      </w:r>
      <w:r>
        <w:rPr>
          <w:rFonts w:hint="default" w:ascii="Times New Roman" w:hAnsi="Times New Roman" w:eastAsia="黑体" w:cs="Times New Roman"/>
          <w:bCs/>
          <w:sz w:val="28"/>
          <w:szCs w:val="28"/>
          <w:highlight w:val="none"/>
        </w:rPr>
        <w:t>年公路通车里程</w:t>
      </w:r>
    </w:p>
    <w:tbl>
      <w:tblPr>
        <w:tblStyle w:val="6"/>
        <w:tblW w:w="8340" w:type="dxa"/>
        <w:jc w:val="center"/>
        <w:tblInd w:w="0" w:type="dxa"/>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
      <w:tblGrid>
        <w:gridCol w:w="4004"/>
        <w:gridCol w:w="1666"/>
        <w:gridCol w:w="2670"/>
      </w:tblGrid>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512" w:hRule="exact"/>
          <w:jc w:val="center"/>
        </w:trPr>
        <w:tc>
          <w:tcPr>
            <w:tcW w:w="4004" w:type="dxa"/>
            <w:tcBorders>
              <w:bottom w:val="single" w:color="000000" w:sz="8" w:space="0"/>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指  标</w:t>
            </w:r>
          </w:p>
        </w:tc>
        <w:tc>
          <w:tcPr>
            <w:tcW w:w="1666" w:type="dxa"/>
            <w:tcBorders>
              <w:bottom w:val="single" w:color="000000" w:sz="8" w:space="0"/>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单 位</w:t>
            </w:r>
          </w:p>
        </w:tc>
        <w:tc>
          <w:tcPr>
            <w:tcW w:w="2670" w:type="dxa"/>
            <w:tcBorders>
              <w:bottom w:val="single" w:color="000000" w:sz="8" w:space="0"/>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绝对数</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4004" w:type="dxa"/>
            <w:tcBorders>
              <w:top w:val="single" w:color="000000" w:sz="8" w:space="0"/>
              <w:tl2br w:val="nil"/>
              <w:tr2bl w:val="nil"/>
            </w:tcBorders>
            <w:vAlign w:val="center"/>
          </w:tcPr>
          <w:p>
            <w:pPr>
              <w:widowControl/>
              <w:spacing w:line="300" w:lineRule="exact"/>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公路通车里程</w:t>
            </w:r>
          </w:p>
        </w:tc>
        <w:tc>
          <w:tcPr>
            <w:tcW w:w="1666" w:type="dxa"/>
            <w:tcBorders>
              <w:top w:val="single" w:color="000000" w:sz="8" w:space="0"/>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公里</w:t>
            </w:r>
          </w:p>
        </w:tc>
        <w:tc>
          <w:tcPr>
            <w:tcW w:w="2670" w:type="dxa"/>
            <w:tcBorders>
              <w:top w:val="single" w:color="000000" w:sz="8" w:space="0"/>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lang w:val="en-US" w:eastAsia="zh-CN"/>
              </w:rPr>
              <w:t>3097.992</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4004" w:type="dxa"/>
            <w:tcBorders>
              <w:tl2br w:val="nil"/>
              <w:tr2bl w:val="nil"/>
            </w:tcBorders>
            <w:vAlign w:val="center"/>
          </w:tcPr>
          <w:p>
            <w:pPr>
              <w:widowControl/>
              <w:spacing w:line="300" w:lineRule="exact"/>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按行政等级分：国道</w:t>
            </w:r>
          </w:p>
        </w:tc>
        <w:tc>
          <w:tcPr>
            <w:tcW w:w="1666"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公里</w:t>
            </w:r>
          </w:p>
        </w:tc>
        <w:tc>
          <w:tcPr>
            <w:tcW w:w="2670"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lang w:val="en-US" w:eastAsia="zh-CN"/>
              </w:rPr>
              <w:t>222.714</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4004" w:type="dxa"/>
            <w:tcBorders>
              <w:tl2br w:val="nil"/>
              <w:tr2bl w:val="nil"/>
            </w:tcBorders>
            <w:vAlign w:val="center"/>
          </w:tcPr>
          <w:p>
            <w:pPr>
              <w:widowControl/>
              <w:spacing w:line="300" w:lineRule="exact"/>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省道</w:t>
            </w:r>
          </w:p>
        </w:tc>
        <w:tc>
          <w:tcPr>
            <w:tcW w:w="1666"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公里</w:t>
            </w:r>
          </w:p>
        </w:tc>
        <w:tc>
          <w:tcPr>
            <w:tcW w:w="2670"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lang w:val="en-US" w:eastAsia="zh-CN"/>
              </w:rPr>
              <w:t>69.338</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4004" w:type="dxa"/>
            <w:tcBorders>
              <w:tl2br w:val="nil"/>
              <w:tr2bl w:val="nil"/>
            </w:tcBorders>
            <w:vAlign w:val="center"/>
          </w:tcPr>
          <w:p>
            <w:pPr>
              <w:widowControl/>
              <w:spacing w:line="300" w:lineRule="exact"/>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县道</w:t>
            </w:r>
          </w:p>
        </w:tc>
        <w:tc>
          <w:tcPr>
            <w:tcW w:w="1666"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公里</w:t>
            </w:r>
          </w:p>
        </w:tc>
        <w:tc>
          <w:tcPr>
            <w:tcW w:w="2670"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lang w:val="en-US" w:eastAsia="zh-CN"/>
              </w:rPr>
              <w:t>482.595</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4004" w:type="dxa"/>
            <w:tcBorders>
              <w:tl2br w:val="nil"/>
              <w:tr2bl w:val="nil"/>
            </w:tcBorders>
            <w:vAlign w:val="center"/>
          </w:tcPr>
          <w:p>
            <w:pPr>
              <w:widowControl/>
              <w:spacing w:line="300" w:lineRule="exact"/>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乡道</w:t>
            </w:r>
          </w:p>
        </w:tc>
        <w:tc>
          <w:tcPr>
            <w:tcW w:w="1666"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公里</w:t>
            </w:r>
          </w:p>
        </w:tc>
        <w:tc>
          <w:tcPr>
            <w:tcW w:w="2670"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lang w:val="en-US" w:eastAsia="zh-CN"/>
              </w:rPr>
              <w:t>1980.606</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4004" w:type="dxa"/>
            <w:tcBorders>
              <w:tl2br w:val="nil"/>
              <w:tr2bl w:val="nil"/>
            </w:tcBorders>
            <w:vAlign w:val="center"/>
          </w:tcPr>
          <w:p>
            <w:pPr>
              <w:widowControl/>
              <w:spacing w:line="300" w:lineRule="exact"/>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村道</w:t>
            </w:r>
          </w:p>
        </w:tc>
        <w:tc>
          <w:tcPr>
            <w:tcW w:w="1666"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公里</w:t>
            </w:r>
          </w:p>
        </w:tc>
        <w:tc>
          <w:tcPr>
            <w:tcW w:w="2670"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lang w:val="en-US" w:eastAsia="zh-CN"/>
              </w:rPr>
              <w:t>297.16</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4004" w:type="dxa"/>
            <w:tcBorders>
              <w:tl2br w:val="nil"/>
              <w:tr2bl w:val="nil"/>
            </w:tcBorders>
            <w:vAlign w:val="center"/>
          </w:tcPr>
          <w:p>
            <w:pPr>
              <w:widowControl/>
              <w:spacing w:line="300" w:lineRule="exact"/>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专用道路</w:t>
            </w:r>
          </w:p>
        </w:tc>
        <w:tc>
          <w:tcPr>
            <w:tcW w:w="1666"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公里</w:t>
            </w:r>
          </w:p>
        </w:tc>
        <w:tc>
          <w:tcPr>
            <w:tcW w:w="2670"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lang w:val="en-US" w:eastAsia="zh-CN"/>
              </w:rPr>
              <w:t>45.579</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4004" w:type="dxa"/>
            <w:tcBorders>
              <w:tl2br w:val="nil"/>
              <w:tr2bl w:val="nil"/>
            </w:tcBorders>
            <w:vAlign w:val="center"/>
          </w:tcPr>
          <w:p>
            <w:pPr>
              <w:widowControl/>
              <w:spacing w:line="300" w:lineRule="exact"/>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按技术等级分：高速公路</w:t>
            </w:r>
          </w:p>
        </w:tc>
        <w:tc>
          <w:tcPr>
            <w:tcW w:w="1666"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公里</w:t>
            </w:r>
          </w:p>
        </w:tc>
        <w:tc>
          <w:tcPr>
            <w:tcW w:w="2670"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125.007</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4004" w:type="dxa"/>
            <w:tcBorders>
              <w:tl2br w:val="nil"/>
              <w:tr2bl w:val="nil"/>
            </w:tcBorders>
            <w:vAlign w:val="center"/>
          </w:tcPr>
          <w:p>
            <w:pPr>
              <w:widowControl/>
              <w:spacing w:line="300" w:lineRule="exact"/>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一级公路</w:t>
            </w:r>
          </w:p>
        </w:tc>
        <w:tc>
          <w:tcPr>
            <w:tcW w:w="1666"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公里</w:t>
            </w:r>
          </w:p>
        </w:tc>
        <w:tc>
          <w:tcPr>
            <w:tcW w:w="2670"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5.886</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4004" w:type="dxa"/>
            <w:tcBorders>
              <w:tl2br w:val="nil"/>
              <w:tr2bl w:val="nil"/>
            </w:tcBorders>
            <w:vAlign w:val="center"/>
          </w:tcPr>
          <w:p>
            <w:pPr>
              <w:widowControl/>
              <w:spacing w:line="300" w:lineRule="exact"/>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二级公路</w:t>
            </w:r>
          </w:p>
        </w:tc>
        <w:tc>
          <w:tcPr>
            <w:tcW w:w="1666"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公里</w:t>
            </w:r>
          </w:p>
        </w:tc>
        <w:tc>
          <w:tcPr>
            <w:tcW w:w="2670"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94.537</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4004" w:type="dxa"/>
            <w:tcBorders>
              <w:tl2br w:val="nil"/>
              <w:tr2bl w:val="nil"/>
            </w:tcBorders>
            <w:vAlign w:val="center"/>
          </w:tcPr>
          <w:p>
            <w:pPr>
              <w:widowControl/>
              <w:spacing w:line="300" w:lineRule="exact"/>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三级公路</w:t>
            </w:r>
          </w:p>
        </w:tc>
        <w:tc>
          <w:tcPr>
            <w:tcW w:w="1666"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公里</w:t>
            </w:r>
          </w:p>
        </w:tc>
        <w:tc>
          <w:tcPr>
            <w:tcW w:w="2670"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133.556</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4004" w:type="dxa"/>
            <w:tcBorders>
              <w:tl2br w:val="nil"/>
              <w:tr2bl w:val="nil"/>
            </w:tcBorders>
            <w:vAlign w:val="center"/>
          </w:tcPr>
          <w:p>
            <w:pPr>
              <w:widowControl/>
              <w:spacing w:line="300" w:lineRule="exact"/>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四级公路</w:t>
            </w:r>
          </w:p>
        </w:tc>
        <w:tc>
          <w:tcPr>
            <w:tcW w:w="1666"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公里</w:t>
            </w:r>
          </w:p>
        </w:tc>
        <w:tc>
          <w:tcPr>
            <w:tcW w:w="2670"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2739.006</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Layout w:type="fixed"/>
          <w:tblCellMar>
            <w:top w:w="15" w:type="dxa"/>
            <w:left w:w="15" w:type="dxa"/>
            <w:bottom w:w="15" w:type="dxa"/>
            <w:right w:w="15" w:type="dxa"/>
          </w:tblCellMar>
        </w:tblPrEx>
        <w:trPr>
          <w:trHeight w:val="340" w:hRule="atLeast"/>
          <w:jc w:val="center"/>
        </w:trPr>
        <w:tc>
          <w:tcPr>
            <w:tcW w:w="4004" w:type="dxa"/>
            <w:tcBorders>
              <w:tl2br w:val="nil"/>
              <w:tr2bl w:val="nil"/>
            </w:tcBorders>
            <w:vAlign w:val="center"/>
          </w:tcPr>
          <w:p>
            <w:pPr>
              <w:widowControl/>
              <w:spacing w:line="300" w:lineRule="exact"/>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等外公路</w:t>
            </w:r>
          </w:p>
        </w:tc>
        <w:tc>
          <w:tcPr>
            <w:tcW w:w="1666"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公里</w:t>
            </w:r>
          </w:p>
        </w:tc>
        <w:tc>
          <w:tcPr>
            <w:tcW w:w="2670" w:type="dxa"/>
            <w:tcBorders>
              <w:tl2br w:val="nil"/>
              <w:tr2bl w:val="nil"/>
            </w:tcBorders>
            <w:vAlign w:val="center"/>
          </w:tcPr>
          <w:p>
            <w:pPr>
              <w:widowControl/>
              <w:spacing w:line="300" w:lineRule="exact"/>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0</w:t>
            </w:r>
          </w:p>
        </w:tc>
      </w:tr>
    </w:tbl>
    <w:p>
      <w:pPr>
        <w:spacing w:line="600" w:lineRule="exact"/>
        <w:ind w:firstLine="640" w:firstLineChars="200"/>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2020年全县拥有机动车94692辆，其中：大型汽车802辆，小型汽车22717辆，摩托车70967辆，农用运输车（三轮汽车、低速货车）3辆，挂车129辆，教练车、教练摩托车74辆。全县共有汽车驾驶员44974人，摩托车驾驶员38869人。营运客车148辆，其中：班线客车83辆，包括（县内班车42辆；县际班车19辆；市际班车22辆）；客运出租车31辆，城市公交车24辆；城市客运观光电瓶车40辆。</w:t>
      </w:r>
    </w:p>
    <w:p>
      <w:pPr>
        <w:spacing w:line="600" w:lineRule="exact"/>
        <w:ind w:firstLine="640" w:firstLineChars="200"/>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年全县</w:t>
      </w:r>
      <w:r>
        <w:rPr>
          <w:rFonts w:hint="default" w:ascii="Times New Roman" w:hAnsi="Times New Roman" w:eastAsia="方正仿宋_GBK" w:cs="Times New Roman"/>
          <w:highlight w:val="none"/>
          <w:lang w:eastAsia="zh-CN"/>
        </w:rPr>
        <w:t>邮政行业</w:t>
      </w:r>
      <w:r>
        <w:rPr>
          <w:rFonts w:hint="default" w:ascii="Times New Roman" w:hAnsi="Times New Roman" w:eastAsia="方正仿宋_GBK" w:cs="Times New Roman"/>
          <w:highlight w:val="none"/>
        </w:rPr>
        <w:t>业务</w:t>
      </w:r>
      <w:r>
        <w:rPr>
          <w:rFonts w:hint="default" w:ascii="Times New Roman" w:hAnsi="Times New Roman" w:eastAsia="方正仿宋_GBK" w:cs="Times New Roman"/>
          <w:highlight w:val="none"/>
          <w:lang w:eastAsia="zh-CN"/>
        </w:rPr>
        <w:t>收入</w:t>
      </w:r>
      <w:r>
        <w:rPr>
          <w:rFonts w:hint="default" w:ascii="Times New Roman" w:hAnsi="Times New Roman" w:eastAsia="方正仿宋_GBK" w:cs="Times New Roman"/>
          <w:highlight w:val="none"/>
          <w:lang w:val="en-US" w:eastAsia="zh-CN"/>
        </w:rPr>
        <w:t>2183.09</w:t>
      </w:r>
      <w:r>
        <w:rPr>
          <w:rFonts w:hint="default" w:ascii="Times New Roman" w:hAnsi="Times New Roman" w:eastAsia="方正仿宋_GBK" w:cs="Times New Roman"/>
          <w:highlight w:val="none"/>
        </w:rPr>
        <w:t>万元</w:t>
      </w:r>
      <w:r>
        <w:rPr>
          <w:rFonts w:hint="default" w:ascii="Times New Roman" w:hAnsi="Times New Roman" w:eastAsia="方正仿宋_GBK" w:cs="Times New Roman"/>
          <w:highlight w:val="none"/>
          <w:lang w:eastAsia="zh-CN"/>
        </w:rPr>
        <w:t>，快递企业业务收入</w:t>
      </w:r>
      <w:r>
        <w:rPr>
          <w:rFonts w:hint="default" w:ascii="Times New Roman" w:hAnsi="Times New Roman" w:eastAsia="方正仿宋_GBK" w:cs="Times New Roman"/>
          <w:highlight w:val="none"/>
          <w:lang w:val="en-US" w:eastAsia="zh-CN"/>
        </w:rPr>
        <w:t>1457.11万元</w:t>
      </w:r>
      <w:r>
        <w:rPr>
          <w:rFonts w:hint="default" w:ascii="Times New Roman" w:hAnsi="Times New Roman" w:eastAsia="方正仿宋_GBK" w:cs="Times New Roman"/>
          <w:highlight w:val="none"/>
        </w:rPr>
        <w:t>。固定电话用户</w:t>
      </w:r>
      <w:r>
        <w:rPr>
          <w:rFonts w:hint="default" w:ascii="Times New Roman" w:hAnsi="Times New Roman" w:eastAsia="方正仿宋_GBK" w:cs="Times New Roman"/>
          <w:highlight w:val="none"/>
          <w:lang w:val="en-US" w:eastAsia="zh-CN"/>
        </w:rPr>
        <w:t>5452</w:t>
      </w:r>
      <w:r>
        <w:rPr>
          <w:rFonts w:hint="default" w:ascii="Times New Roman" w:hAnsi="Times New Roman" w:eastAsia="方正仿宋_GBK" w:cs="Times New Roman"/>
          <w:highlight w:val="none"/>
        </w:rPr>
        <w:t>户，移动电话用户</w:t>
      </w:r>
      <w:r>
        <w:rPr>
          <w:rFonts w:hint="default" w:ascii="Times New Roman" w:hAnsi="Times New Roman" w:eastAsia="方正仿宋_GBK" w:cs="Times New Roman"/>
          <w:highlight w:val="none"/>
          <w:lang w:val="en-US" w:eastAsia="zh-CN"/>
        </w:rPr>
        <w:t>17.03</w:t>
      </w:r>
      <w:r>
        <w:rPr>
          <w:rFonts w:hint="default" w:ascii="Times New Roman" w:hAnsi="Times New Roman" w:eastAsia="方正仿宋_GBK" w:cs="Times New Roman"/>
          <w:highlight w:val="none"/>
        </w:rPr>
        <w:t>万户，互联网用户</w:t>
      </w:r>
      <w:r>
        <w:rPr>
          <w:rFonts w:hint="default" w:ascii="Times New Roman" w:hAnsi="Times New Roman" w:eastAsia="方正仿宋_GBK" w:cs="Times New Roman"/>
          <w:highlight w:val="none"/>
          <w:lang w:val="en-US" w:eastAsia="zh-CN"/>
        </w:rPr>
        <w:t>18.33</w:t>
      </w:r>
      <w:r>
        <w:rPr>
          <w:rFonts w:hint="default" w:ascii="Times New Roman" w:hAnsi="Times New Roman" w:eastAsia="方正仿宋_GBK" w:cs="Times New Roman"/>
          <w:highlight w:val="none"/>
        </w:rPr>
        <w:t>万户。国内外函件</w:t>
      </w:r>
      <w:r>
        <w:rPr>
          <w:rFonts w:hint="default" w:ascii="Times New Roman" w:hAnsi="Times New Roman" w:eastAsia="方正仿宋_GBK" w:cs="Times New Roman"/>
          <w:highlight w:val="none"/>
          <w:lang w:val="en-US" w:eastAsia="zh-CN"/>
        </w:rPr>
        <w:t>1.7121</w:t>
      </w:r>
      <w:r>
        <w:rPr>
          <w:rFonts w:hint="default" w:ascii="Times New Roman" w:hAnsi="Times New Roman" w:eastAsia="方正仿宋_GBK" w:cs="Times New Roman"/>
          <w:highlight w:val="none"/>
        </w:rPr>
        <w:t>万件，订销报纸累计</w:t>
      </w:r>
      <w:r>
        <w:rPr>
          <w:rFonts w:hint="default" w:ascii="Times New Roman" w:hAnsi="Times New Roman" w:eastAsia="方正仿宋_GBK" w:cs="Times New Roman"/>
          <w:highlight w:val="none"/>
          <w:lang w:val="en-US" w:eastAsia="zh-CN"/>
        </w:rPr>
        <w:t>116.1326</w:t>
      </w:r>
      <w:r>
        <w:rPr>
          <w:rFonts w:hint="default" w:ascii="Times New Roman" w:hAnsi="Times New Roman" w:eastAsia="方正仿宋_GBK" w:cs="Times New Roman"/>
          <w:highlight w:val="none"/>
        </w:rPr>
        <w:t>万份，订销杂志累计</w:t>
      </w:r>
      <w:r>
        <w:rPr>
          <w:rFonts w:hint="default" w:ascii="Times New Roman" w:hAnsi="Times New Roman" w:eastAsia="方正仿宋_GBK" w:cs="Times New Roman"/>
          <w:highlight w:val="none"/>
          <w:lang w:val="en-US" w:eastAsia="zh-CN"/>
        </w:rPr>
        <w:t>5.3726</w:t>
      </w:r>
      <w:r>
        <w:rPr>
          <w:rFonts w:hint="default" w:ascii="Times New Roman" w:hAnsi="Times New Roman" w:eastAsia="方正仿宋_GBK" w:cs="Times New Roman"/>
          <w:highlight w:val="none"/>
        </w:rPr>
        <w:t>万份。</w:t>
      </w:r>
    </w:p>
    <w:p>
      <w:pPr>
        <w:spacing w:line="600" w:lineRule="exact"/>
        <w:ind w:firstLine="640" w:firstLineChars="200"/>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七、国内贸易和对外经济</w:t>
      </w:r>
    </w:p>
    <w:p>
      <w:pPr>
        <w:spacing w:line="600" w:lineRule="exact"/>
        <w:ind w:firstLine="640" w:firstLineChars="200"/>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年全县实现社会消费品零售总额</w:t>
      </w:r>
      <w:r>
        <w:rPr>
          <w:rFonts w:hint="default" w:ascii="Times New Roman" w:hAnsi="Times New Roman" w:eastAsia="方正仿宋_GBK" w:cs="Times New Roman"/>
          <w:highlight w:val="none"/>
          <w:lang w:val="en-US" w:eastAsia="zh-CN"/>
        </w:rPr>
        <w:t>508313</w:t>
      </w:r>
      <w:r>
        <w:rPr>
          <w:rFonts w:hint="default" w:ascii="Times New Roman" w:hAnsi="Times New Roman" w:eastAsia="方正仿宋_GBK" w:cs="Times New Roman"/>
          <w:highlight w:val="none"/>
        </w:rPr>
        <w:t>万元，</w:t>
      </w:r>
      <w:r>
        <w:rPr>
          <w:rFonts w:hint="default" w:ascii="Times New Roman" w:hAnsi="Times New Roman" w:eastAsia="方正仿宋_GBK" w:cs="Times New Roman"/>
          <w:highlight w:val="none"/>
          <w:lang w:eastAsia="zh-CN"/>
        </w:rPr>
        <w:t>下降</w:t>
      </w:r>
      <w:r>
        <w:rPr>
          <w:rFonts w:hint="default" w:ascii="Times New Roman" w:hAnsi="Times New Roman" w:eastAsia="方正仿宋_GBK" w:cs="Times New Roman"/>
          <w:highlight w:val="none"/>
          <w:lang w:val="en-US" w:eastAsia="zh-CN"/>
        </w:rPr>
        <w:t>2.9</w:t>
      </w:r>
      <w:r>
        <w:rPr>
          <w:rFonts w:hint="default" w:ascii="Times New Roman" w:hAnsi="Times New Roman" w:eastAsia="方正仿宋_GBK" w:cs="Times New Roman"/>
          <w:highlight w:val="none"/>
        </w:rPr>
        <w:t>%。批发业销售额</w:t>
      </w:r>
      <w:r>
        <w:rPr>
          <w:rFonts w:hint="default" w:ascii="Times New Roman" w:hAnsi="Times New Roman" w:eastAsia="方正仿宋_GBK" w:cs="Times New Roman"/>
          <w:highlight w:val="none"/>
          <w:lang w:val="en-US" w:eastAsia="zh-CN"/>
        </w:rPr>
        <w:t>261907</w:t>
      </w:r>
      <w:r>
        <w:rPr>
          <w:rFonts w:hint="default" w:ascii="Times New Roman" w:hAnsi="Times New Roman" w:eastAsia="方正仿宋_GBK" w:cs="Times New Roman"/>
          <w:highlight w:val="none"/>
        </w:rPr>
        <w:t>万元、增长1.0%</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零售业销售额</w:t>
      </w:r>
      <w:r>
        <w:rPr>
          <w:rFonts w:hint="default" w:ascii="Times New Roman" w:hAnsi="Times New Roman" w:eastAsia="方正仿宋_GBK" w:cs="Times New Roman"/>
          <w:highlight w:val="none"/>
          <w:lang w:val="en-US" w:eastAsia="zh-CN"/>
        </w:rPr>
        <w:t>406384</w:t>
      </w:r>
      <w:r>
        <w:rPr>
          <w:rFonts w:hint="default" w:ascii="Times New Roman" w:hAnsi="Times New Roman" w:eastAsia="方正仿宋_GBK" w:cs="Times New Roman"/>
          <w:highlight w:val="none"/>
        </w:rPr>
        <w:t>万元、增长</w:t>
      </w:r>
      <w:r>
        <w:rPr>
          <w:rFonts w:hint="default" w:ascii="Times New Roman" w:hAnsi="Times New Roman" w:eastAsia="方正仿宋_GBK" w:cs="Times New Roman"/>
          <w:highlight w:val="none"/>
          <w:lang w:val="en-US" w:eastAsia="zh-CN"/>
        </w:rPr>
        <w:t>3.6</w:t>
      </w:r>
      <w:r>
        <w:rPr>
          <w:rFonts w:hint="default" w:ascii="Times New Roman" w:hAnsi="Times New Roman" w:eastAsia="方正仿宋_GBK" w:cs="Times New Roman"/>
          <w:highlight w:val="none"/>
        </w:rPr>
        <w:t>%</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住宿业营业额</w:t>
      </w:r>
      <w:r>
        <w:rPr>
          <w:rFonts w:hint="default" w:ascii="Times New Roman" w:hAnsi="Times New Roman" w:eastAsia="方正仿宋_GBK" w:cs="Times New Roman"/>
          <w:highlight w:val="none"/>
          <w:lang w:val="en-US" w:eastAsia="zh-CN"/>
        </w:rPr>
        <w:t>9378</w:t>
      </w:r>
      <w:r>
        <w:rPr>
          <w:rFonts w:hint="default" w:ascii="Times New Roman" w:hAnsi="Times New Roman" w:eastAsia="方正仿宋_GBK" w:cs="Times New Roman"/>
          <w:highlight w:val="none"/>
        </w:rPr>
        <w:t>万元、</w:t>
      </w:r>
      <w:r>
        <w:rPr>
          <w:rFonts w:hint="default" w:ascii="Times New Roman" w:hAnsi="Times New Roman" w:eastAsia="方正仿宋_GBK" w:cs="Times New Roman"/>
          <w:highlight w:val="none"/>
          <w:lang w:eastAsia="zh-CN"/>
        </w:rPr>
        <w:t>下降7.4%；</w:t>
      </w:r>
      <w:r>
        <w:rPr>
          <w:rFonts w:hint="default" w:ascii="Times New Roman" w:hAnsi="Times New Roman" w:eastAsia="方正仿宋_GBK" w:cs="Times New Roman"/>
          <w:highlight w:val="none"/>
        </w:rPr>
        <w:t>餐饮业营业额</w:t>
      </w:r>
      <w:r>
        <w:rPr>
          <w:rFonts w:hint="default" w:ascii="Times New Roman" w:hAnsi="Times New Roman" w:eastAsia="方正仿宋_GBK" w:cs="Times New Roman"/>
          <w:highlight w:val="none"/>
          <w:lang w:val="en-US" w:eastAsia="zh-CN"/>
        </w:rPr>
        <w:t>57219</w:t>
      </w:r>
      <w:r>
        <w:rPr>
          <w:rFonts w:hint="default" w:ascii="Times New Roman" w:hAnsi="Times New Roman" w:eastAsia="方正仿宋_GBK" w:cs="Times New Roman"/>
          <w:highlight w:val="none"/>
        </w:rPr>
        <w:t>万元，</w:t>
      </w:r>
      <w:r>
        <w:rPr>
          <w:rFonts w:hint="default" w:ascii="Times New Roman" w:hAnsi="Times New Roman" w:eastAsia="方正仿宋_GBK" w:cs="Times New Roman"/>
          <w:highlight w:val="none"/>
          <w:lang w:val="en-US" w:eastAsia="zh-CN"/>
        </w:rPr>
        <w:t>下降9.4</w:t>
      </w:r>
      <w:r>
        <w:rPr>
          <w:rFonts w:hint="default" w:ascii="Times New Roman" w:hAnsi="Times New Roman" w:eastAsia="方正仿宋_GBK" w:cs="Times New Roman"/>
          <w:highlight w:val="none"/>
        </w:rPr>
        <w:t>%。</w:t>
      </w:r>
    </w:p>
    <w:p>
      <w:pPr>
        <w:spacing w:line="60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表5  20</w:t>
      </w:r>
      <w:r>
        <w:rPr>
          <w:rFonts w:hint="default" w:ascii="Times New Roman" w:hAnsi="Times New Roman" w:eastAsia="黑体" w:cs="Times New Roman"/>
          <w:sz w:val="28"/>
          <w:szCs w:val="28"/>
          <w:highlight w:val="none"/>
          <w:lang w:val="en-US" w:eastAsia="zh-CN"/>
        </w:rPr>
        <w:t>20</w:t>
      </w:r>
      <w:r>
        <w:rPr>
          <w:rFonts w:hint="default" w:ascii="Times New Roman" w:hAnsi="Times New Roman" w:eastAsia="黑体" w:cs="Times New Roman"/>
          <w:sz w:val="28"/>
          <w:szCs w:val="28"/>
          <w:highlight w:val="none"/>
        </w:rPr>
        <w:t>年社会消费品零售总额分类及其增长速度</w:t>
      </w:r>
    </w:p>
    <w:tbl>
      <w:tblPr>
        <w:tblStyle w:val="6"/>
        <w:tblW w:w="8318" w:type="dxa"/>
        <w:jc w:val="center"/>
        <w:tblInd w:w="0" w:type="dxa"/>
        <w:tblLayout w:type="fixed"/>
        <w:tblCellMar>
          <w:top w:w="15" w:type="dxa"/>
          <w:left w:w="15" w:type="dxa"/>
          <w:bottom w:w="15" w:type="dxa"/>
          <w:right w:w="15" w:type="dxa"/>
        </w:tblCellMar>
      </w:tblPr>
      <w:tblGrid>
        <w:gridCol w:w="3685"/>
        <w:gridCol w:w="1018"/>
        <w:gridCol w:w="1654"/>
        <w:gridCol w:w="1961"/>
      </w:tblGrid>
      <w:tr>
        <w:tblPrEx>
          <w:tblLayout w:type="fixed"/>
          <w:tblCellMar>
            <w:top w:w="15" w:type="dxa"/>
            <w:left w:w="15" w:type="dxa"/>
            <w:bottom w:w="15" w:type="dxa"/>
            <w:right w:w="15" w:type="dxa"/>
          </w:tblCellMar>
        </w:tblPrEx>
        <w:trPr>
          <w:trHeight w:val="90" w:hRule="atLeast"/>
          <w:jc w:val="center"/>
        </w:trPr>
        <w:tc>
          <w:tcPr>
            <w:tcW w:w="3685" w:type="dxa"/>
            <w:tcBorders>
              <w:top w:val="single" w:color="000000" w:sz="12"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指  标</w:t>
            </w:r>
          </w:p>
        </w:tc>
        <w:tc>
          <w:tcPr>
            <w:tcW w:w="1018" w:type="dxa"/>
            <w:tcBorders>
              <w:top w:val="single" w:color="000000" w:sz="12"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单 位</w:t>
            </w:r>
          </w:p>
        </w:tc>
        <w:tc>
          <w:tcPr>
            <w:tcW w:w="1654" w:type="dxa"/>
            <w:tcBorders>
              <w:top w:val="single" w:color="000000" w:sz="12"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绝对数</w:t>
            </w:r>
          </w:p>
        </w:tc>
        <w:tc>
          <w:tcPr>
            <w:tcW w:w="1961" w:type="dxa"/>
            <w:tcBorders>
              <w:top w:val="single" w:color="000000" w:sz="12" w:space="0"/>
              <w:lef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与上年相比（%）</w:t>
            </w:r>
          </w:p>
        </w:tc>
      </w:tr>
      <w:tr>
        <w:tblPrEx>
          <w:tblLayout w:type="fixed"/>
          <w:tblCellMar>
            <w:top w:w="15" w:type="dxa"/>
            <w:left w:w="15" w:type="dxa"/>
            <w:bottom w:w="15" w:type="dxa"/>
            <w:right w:w="15" w:type="dxa"/>
          </w:tblCellMar>
        </w:tblPrEx>
        <w:trPr>
          <w:trHeight w:val="454" w:hRule="exact"/>
          <w:jc w:val="center"/>
        </w:trPr>
        <w:tc>
          <w:tcPr>
            <w:tcW w:w="3685" w:type="dxa"/>
            <w:tcBorders>
              <w:top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社会消费品零售总额</w:t>
            </w:r>
          </w:p>
        </w:tc>
        <w:tc>
          <w:tcPr>
            <w:tcW w:w="1018"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万元</w:t>
            </w:r>
          </w:p>
        </w:tc>
        <w:tc>
          <w:tcPr>
            <w:tcW w:w="1654"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508313</w:t>
            </w:r>
          </w:p>
        </w:tc>
        <w:tc>
          <w:tcPr>
            <w:tcW w:w="1961" w:type="dxa"/>
            <w:tcBorders>
              <w:top w:val="single" w:color="000000" w:sz="4" w:space="0"/>
              <w:lef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-2.9</w:t>
            </w:r>
          </w:p>
        </w:tc>
      </w:tr>
      <w:tr>
        <w:tblPrEx>
          <w:tblLayout w:type="fixed"/>
          <w:tblCellMar>
            <w:top w:w="15" w:type="dxa"/>
            <w:left w:w="15" w:type="dxa"/>
            <w:bottom w:w="15" w:type="dxa"/>
            <w:right w:w="15" w:type="dxa"/>
          </w:tblCellMar>
        </w:tblPrEx>
        <w:trPr>
          <w:trHeight w:val="454" w:hRule="exact"/>
          <w:jc w:val="center"/>
        </w:trPr>
        <w:tc>
          <w:tcPr>
            <w:tcW w:w="3685"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按经营地统计：城镇</w:t>
            </w:r>
          </w:p>
        </w:tc>
        <w:tc>
          <w:tcPr>
            <w:tcW w:w="1018"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万元</w:t>
            </w:r>
          </w:p>
        </w:tc>
        <w:tc>
          <w:tcPr>
            <w:tcW w:w="1654"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371069</w:t>
            </w:r>
          </w:p>
        </w:tc>
        <w:tc>
          <w:tcPr>
            <w:tcW w:w="1961" w:type="dxa"/>
            <w:tcBorders>
              <w:lef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-5.5</w:t>
            </w:r>
          </w:p>
        </w:tc>
      </w:tr>
      <w:tr>
        <w:tblPrEx>
          <w:tblLayout w:type="fixed"/>
          <w:tblCellMar>
            <w:top w:w="15" w:type="dxa"/>
            <w:left w:w="15" w:type="dxa"/>
            <w:bottom w:w="15" w:type="dxa"/>
            <w:right w:w="15" w:type="dxa"/>
          </w:tblCellMar>
        </w:tblPrEx>
        <w:trPr>
          <w:trHeight w:val="454" w:hRule="exact"/>
          <w:jc w:val="center"/>
        </w:trPr>
        <w:tc>
          <w:tcPr>
            <w:tcW w:w="3685" w:type="dxa"/>
            <w:tcBorders>
              <w:right w:val="single" w:color="000000" w:sz="4" w:space="0"/>
            </w:tcBorders>
            <w:vAlign w:val="center"/>
          </w:tcPr>
          <w:p>
            <w:pP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rPr>
              <w:t xml:space="preserve">                 乡村</w:t>
            </w:r>
          </w:p>
        </w:tc>
        <w:tc>
          <w:tcPr>
            <w:tcW w:w="1018"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万元</w:t>
            </w:r>
          </w:p>
        </w:tc>
        <w:tc>
          <w:tcPr>
            <w:tcW w:w="1654"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137245</w:t>
            </w:r>
          </w:p>
        </w:tc>
        <w:tc>
          <w:tcPr>
            <w:tcW w:w="1961" w:type="dxa"/>
            <w:tcBorders>
              <w:lef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4.9</w:t>
            </w:r>
          </w:p>
        </w:tc>
      </w:tr>
      <w:tr>
        <w:tblPrEx>
          <w:tblLayout w:type="fixed"/>
          <w:tblCellMar>
            <w:top w:w="15" w:type="dxa"/>
            <w:left w:w="15" w:type="dxa"/>
            <w:bottom w:w="15" w:type="dxa"/>
            <w:right w:w="15" w:type="dxa"/>
          </w:tblCellMar>
        </w:tblPrEx>
        <w:trPr>
          <w:trHeight w:val="454" w:hRule="exact"/>
          <w:jc w:val="center"/>
        </w:trPr>
        <w:tc>
          <w:tcPr>
            <w:tcW w:w="3685" w:type="dxa"/>
            <w:tcBorders>
              <w:right w:val="single" w:color="000000" w:sz="4" w:space="0"/>
            </w:tcBorders>
            <w:vAlign w:val="center"/>
          </w:tcPr>
          <w:p>
            <w:pP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rPr>
              <w:t xml:space="preserve">   按消费类型统计：餐饮收入</w:t>
            </w:r>
          </w:p>
        </w:tc>
        <w:tc>
          <w:tcPr>
            <w:tcW w:w="1018"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万元</w:t>
            </w:r>
          </w:p>
        </w:tc>
        <w:tc>
          <w:tcPr>
            <w:tcW w:w="1654"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142328</w:t>
            </w:r>
          </w:p>
        </w:tc>
        <w:tc>
          <w:tcPr>
            <w:tcW w:w="1961" w:type="dxa"/>
            <w:tcBorders>
              <w:lef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-9.4</w:t>
            </w:r>
          </w:p>
        </w:tc>
      </w:tr>
      <w:tr>
        <w:tblPrEx>
          <w:tblLayout w:type="fixed"/>
          <w:tblCellMar>
            <w:top w:w="15" w:type="dxa"/>
            <w:left w:w="15" w:type="dxa"/>
            <w:bottom w:w="15" w:type="dxa"/>
            <w:right w:w="15" w:type="dxa"/>
          </w:tblCellMar>
        </w:tblPrEx>
        <w:trPr>
          <w:trHeight w:val="454" w:hRule="exact"/>
          <w:jc w:val="center"/>
        </w:trPr>
        <w:tc>
          <w:tcPr>
            <w:tcW w:w="3685" w:type="dxa"/>
            <w:tcBorders>
              <w:bottom w:val="single" w:color="000000" w:sz="12" w:space="0"/>
              <w:right w:val="single" w:color="000000" w:sz="4" w:space="0"/>
            </w:tcBorders>
            <w:vAlign w:val="center"/>
          </w:tcPr>
          <w:p>
            <w:pP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rPr>
              <w:t xml:space="preserve">                   商品零售</w:t>
            </w:r>
          </w:p>
        </w:tc>
        <w:tc>
          <w:tcPr>
            <w:tcW w:w="1018" w:type="dxa"/>
            <w:tcBorders>
              <w:left w:val="single" w:color="000000" w:sz="4" w:space="0"/>
              <w:bottom w:val="single" w:color="000000" w:sz="12"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万元</w:t>
            </w:r>
          </w:p>
        </w:tc>
        <w:tc>
          <w:tcPr>
            <w:tcW w:w="1654" w:type="dxa"/>
            <w:tcBorders>
              <w:left w:val="single" w:color="000000" w:sz="4" w:space="0"/>
              <w:bottom w:val="single" w:color="000000" w:sz="12"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365986</w:t>
            </w:r>
          </w:p>
        </w:tc>
        <w:tc>
          <w:tcPr>
            <w:tcW w:w="1961" w:type="dxa"/>
            <w:tcBorders>
              <w:left w:val="single" w:color="000000" w:sz="4" w:space="0"/>
              <w:bottom w:val="single" w:color="000000" w:sz="12"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-0.1</w:t>
            </w:r>
          </w:p>
        </w:tc>
      </w:tr>
    </w:tbl>
    <w:p>
      <w:pPr>
        <w:spacing w:line="600" w:lineRule="exact"/>
        <w:ind w:left="160" w:leftChars="50" w:firstLine="480" w:firstLineChars="150"/>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年共实施招商引资项目</w:t>
      </w:r>
      <w:r>
        <w:rPr>
          <w:rFonts w:hint="default" w:ascii="Times New Roman" w:hAnsi="Times New Roman" w:eastAsia="方正仿宋_GBK" w:cs="Times New Roman"/>
          <w:highlight w:val="none"/>
          <w:lang w:val="en-US" w:eastAsia="zh-CN"/>
        </w:rPr>
        <w:t>53</w:t>
      </w:r>
      <w:r>
        <w:rPr>
          <w:rFonts w:hint="default" w:ascii="Times New Roman" w:hAnsi="Times New Roman" w:eastAsia="方正仿宋_GBK" w:cs="Times New Roman"/>
          <w:highlight w:val="none"/>
        </w:rPr>
        <w:t>项，</w:t>
      </w:r>
      <w:r>
        <w:rPr>
          <w:rFonts w:hint="default" w:ascii="Times New Roman" w:hAnsi="Times New Roman" w:eastAsia="方正仿宋_GBK" w:cs="Times New Roman"/>
          <w:highlight w:val="none"/>
          <w:lang w:eastAsia="zh-CN"/>
        </w:rPr>
        <w:t>有实际到位资金的项目</w:t>
      </w:r>
      <w:r>
        <w:rPr>
          <w:rFonts w:hint="default" w:ascii="Times New Roman" w:hAnsi="Times New Roman" w:eastAsia="方正仿宋_GBK" w:cs="Times New Roman"/>
          <w:highlight w:val="none"/>
          <w:lang w:val="en-US" w:eastAsia="zh-CN"/>
        </w:rPr>
        <w:t>45项，</w:t>
      </w:r>
      <w:r>
        <w:rPr>
          <w:rFonts w:hint="default" w:ascii="Times New Roman" w:hAnsi="Times New Roman" w:eastAsia="方正仿宋_GBK" w:cs="Times New Roman"/>
          <w:highlight w:val="none"/>
        </w:rPr>
        <w:t>实际利用县外国内资金同比增长27.13%，其中：省外国内资金同比增长</w:t>
      </w:r>
      <w:r>
        <w:rPr>
          <w:rFonts w:hint="default" w:ascii="Times New Roman" w:hAnsi="Times New Roman" w:eastAsia="方正仿宋_GBK" w:cs="Times New Roman"/>
          <w:highlight w:val="none"/>
          <w:lang w:val="en-US" w:eastAsia="zh-CN"/>
        </w:rPr>
        <w:t>22.5</w:t>
      </w:r>
      <w:r>
        <w:rPr>
          <w:rFonts w:hint="default" w:ascii="Times New Roman" w:hAnsi="Times New Roman" w:eastAsia="方正仿宋_GBK" w:cs="Times New Roman"/>
          <w:highlight w:val="none"/>
        </w:rPr>
        <w:t>%。</w:t>
      </w:r>
    </w:p>
    <w:p>
      <w:pPr>
        <w:spacing w:line="600" w:lineRule="exact"/>
        <w:ind w:firstLine="640" w:firstLineChars="200"/>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highlight w:val="none"/>
        </w:rPr>
        <w:t>全年实现进出口总额3899万美元，其中：出口</w:t>
      </w:r>
      <w:r>
        <w:rPr>
          <w:rFonts w:hint="default" w:ascii="Times New Roman" w:hAnsi="Times New Roman" w:eastAsia="方正仿宋_GBK" w:cs="Times New Roman"/>
          <w:color w:val="auto"/>
          <w:highlight w:val="none"/>
        </w:rPr>
        <w:t>3899万美元。</w:t>
      </w:r>
    </w:p>
    <w:p>
      <w:pPr>
        <w:spacing w:line="600" w:lineRule="exact"/>
        <w:ind w:firstLine="640" w:firstLineChars="200"/>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八、财税和金融</w:t>
      </w:r>
    </w:p>
    <w:p>
      <w:pPr>
        <w:spacing w:line="600" w:lineRule="exact"/>
        <w:ind w:firstLine="640" w:firstLineChars="200"/>
        <w:rPr>
          <w:rFonts w:hint="default" w:ascii="Times New Roman" w:hAnsi="Times New Roman" w:eastAsia="方正仿宋_GBK" w:cs="Times New Roman"/>
          <w:bCs/>
          <w:highlight w:val="none"/>
        </w:rPr>
      </w:pPr>
      <w:r>
        <w:rPr>
          <w:rFonts w:hint="default" w:ascii="Times New Roman" w:hAnsi="Times New Roman" w:eastAsia="方正仿宋_GBK" w:cs="Times New Roman"/>
          <w:highlight w:val="none"/>
        </w:rPr>
        <w:t>20</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年，全县实现地方财政收入</w:t>
      </w:r>
      <w:r>
        <w:rPr>
          <w:rFonts w:hint="default" w:ascii="Times New Roman" w:hAnsi="Times New Roman" w:eastAsia="方正仿宋_GBK" w:cs="Times New Roman"/>
          <w:highlight w:val="none"/>
          <w:lang w:val="en-US" w:eastAsia="zh-CN"/>
        </w:rPr>
        <w:t>64888</w:t>
      </w:r>
      <w:r>
        <w:rPr>
          <w:rFonts w:hint="default" w:ascii="Times New Roman" w:hAnsi="Times New Roman" w:eastAsia="方正仿宋_GBK" w:cs="Times New Roman"/>
          <w:highlight w:val="none"/>
        </w:rPr>
        <w:t>万元，增长</w:t>
      </w:r>
      <w:r>
        <w:rPr>
          <w:rFonts w:hint="default" w:ascii="Times New Roman" w:hAnsi="Times New Roman" w:eastAsia="方正仿宋_GBK" w:cs="Times New Roman"/>
          <w:highlight w:val="none"/>
          <w:lang w:val="en-US" w:eastAsia="zh-CN"/>
        </w:rPr>
        <w:t>4</w:t>
      </w:r>
      <w:r>
        <w:rPr>
          <w:rFonts w:hint="default" w:ascii="Times New Roman" w:hAnsi="Times New Roman" w:eastAsia="方正仿宋_GBK" w:cs="Times New Roman"/>
          <w:highlight w:val="none"/>
        </w:rPr>
        <w:t>%，其中：一般公共预算收入</w:t>
      </w:r>
      <w:r>
        <w:rPr>
          <w:rFonts w:hint="default" w:ascii="Times New Roman" w:hAnsi="Times New Roman" w:eastAsia="方正仿宋_GBK" w:cs="Times New Roman"/>
          <w:highlight w:val="none"/>
          <w:lang w:val="en-US" w:eastAsia="zh-CN"/>
        </w:rPr>
        <w:t>38557</w:t>
      </w:r>
      <w:r>
        <w:rPr>
          <w:rFonts w:hint="default" w:ascii="Times New Roman" w:hAnsi="Times New Roman" w:eastAsia="方正仿宋_GBK" w:cs="Times New Roman"/>
          <w:highlight w:val="none"/>
        </w:rPr>
        <w:t>万元，下降</w:t>
      </w:r>
      <w:r>
        <w:rPr>
          <w:rFonts w:hint="default" w:ascii="Times New Roman" w:hAnsi="Times New Roman" w:eastAsia="方正仿宋_GBK" w:cs="Times New Roman"/>
          <w:highlight w:val="none"/>
          <w:lang w:val="en-US" w:eastAsia="zh-CN"/>
        </w:rPr>
        <w:t>14.6</w:t>
      </w:r>
      <w:r>
        <w:rPr>
          <w:rFonts w:hint="default" w:ascii="Times New Roman" w:hAnsi="Times New Roman" w:eastAsia="方正仿宋_GBK" w:cs="Times New Roman"/>
          <w:highlight w:val="none"/>
        </w:rPr>
        <w:t>%。地方财政支出</w:t>
      </w:r>
      <w:r>
        <w:rPr>
          <w:rFonts w:hint="default" w:ascii="Times New Roman" w:hAnsi="Times New Roman" w:eastAsia="方正仿宋_GBK" w:cs="Times New Roman"/>
          <w:highlight w:val="none"/>
          <w:lang w:val="en-US" w:eastAsia="zh-CN"/>
        </w:rPr>
        <w:t>244562</w:t>
      </w:r>
      <w:r>
        <w:rPr>
          <w:rFonts w:hint="default" w:ascii="Times New Roman" w:hAnsi="Times New Roman" w:eastAsia="方正仿宋_GBK" w:cs="Times New Roman"/>
          <w:highlight w:val="none"/>
        </w:rPr>
        <w:t>万元，增长</w:t>
      </w:r>
      <w:r>
        <w:rPr>
          <w:rFonts w:hint="default" w:ascii="Times New Roman" w:hAnsi="Times New Roman" w:eastAsia="方正仿宋_GBK" w:cs="Times New Roman"/>
          <w:highlight w:val="none"/>
          <w:lang w:val="en-US" w:eastAsia="zh-CN"/>
        </w:rPr>
        <w:t>14.1</w:t>
      </w:r>
      <w:r>
        <w:rPr>
          <w:rFonts w:hint="default" w:ascii="Times New Roman" w:hAnsi="Times New Roman" w:eastAsia="方正仿宋_GBK" w:cs="Times New Roman"/>
          <w:highlight w:val="none"/>
        </w:rPr>
        <w:t>%，其中：一般公共预算支出</w:t>
      </w:r>
      <w:r>
        <w:rPr>
          <w:rFonts w:hint="default" w:ascii="Times New Roman" w:hAnsi="Times New Roman" w:eastAsia="方正仿宋_GBK" w:cs="Times New Roman"/>
          <w:highlight w:val="none"/>
          <w:lang w:val="en-US" w:eastAsia="zh-CN"/>
        </w:rPr>
        <w:t>198099</w:t>
      </w:r>
      <w:r>
        <w:rPr>
          <w:rFonts w:hint="default" w:ascii="Times New Roman" w:hAnsi="Times New Roman" w:eastAsia="方正仿宋_GBK" w:cs="Times New Roman"/>
          <w:highlight w:val="none"/>
        </w:rPr>
        <w:t>万元，下降3.5%。</w:t>
      </w:r>
    </w:p>
    <w:p>
      <w:pPr>
        <w:spacing w:line="600" w:lineRule="exact"/>
        <w:ind w:firstLine="640" w:firstLineChars="200"/>
        <w:rPr>
          <w:rFonts w:hint="default" w:ascii="Times New Roman" w:hAnsi="Times New Roman" w:eastAsia="方正仿宋_GBK" w:cs="Times New Roman"/>
          <w:bCs/>
          <w:highlight w:val="none"/>
        </w:rPr>
      </w:pPr>
      <w:r>
        <w:rPr>
          <w:rFonts w:hint="default" w:ascii="Times New Roman" w:hAnsi="Times New Roman" w:eastAsia="方正仿宋_GBK" w:cs="Times New Roman"/>
          <w:bCs/>
          <w:highlight w:val="none"/>
        </w:rPr>
        <w:t>各项税费收入</w:t>
      </w:r>
      <w:r>
        <w:rPr>
          <w:rFonts w:hint="default" w:ascii="Times New Roman" w:hAnsi="Times New Roman" w:eastAsia="方正仿宋_GBK" w:cs="Times New Roman"/>
          <w:bCs/>
          <w:highlight w:val="none"/>
          <w:lang w:val="en-US" w:eastAsia="zh-CN"/>
        </w:rPr>
        <w:t>83328</w:t>
      </w:r>
      <w:r>
        <w:rPr>
          <w:rFonts w:hint="default" w:ascii="Times New Roman" w:hAnsi="Times New Roman" w:eastAsia="方正仿宋_GBK" w:cs="Times New Roman"/>
          <w:bCs/>
          <w:highlight w:val="none"/>
        </w:rPr>
        <w:t>万元，下降</w:t>
      </w:r>
      <w:r>
        <w:rPr>
          <w:rFonts w:hint="default" w:ascii="Times New Roman" w:hAnsi="Times New Roman" w:eastAsia="方正仿宋_GBK" w:cs="Times New Roman"/>
          <w:bCs/>
          <w:highlight w:val="none"/>
          <w:lang w:val="en-US" w:eastAsia="zh-CN"/>
        </w:rPr>
        <w:t>5.4</w:t>
      </w:r>
      <w:r>
        <w:rPr>
          <w:rFonts w:hint="default" w:ascii="Times New Roman" w:hAnsi="Times New Roman" w:eastAsia="方正仿宋_GBK" w:cs="Times New Roman"/>
          <w:bCs/>
          <w:highlight w:val="none"/>
        </w:rPr>
        <w:t>%，其中：税收收入</w:t>
      </w:r>
      <w:r>
        <w:rPr>
          <w:rFonts w:hint="default" w:ascii="Times New Roman" w:hAnsi="Times New Roman" w:eastAsia="方正仿宋_GBK" w:cs="Times New Roman"/>
          <w:bCs/>
          <w:highlight w:val="none"/>
          <w:lang w:val="en-US" w:eastAsia="zh-CN"/>
        </w:rPr>
        <w:t>38185</w:t>
      </w:r>
      <w:r>
        <w:rPr>
          <w:rFonts w:hint="default" w:ascii="Times New Roman" w:hAnsi="Times New Roman" w:eastAsia="方正仿宋_GBK" w:cs="Times New Roman"/>
          <w:bCs/>
          <w:highlight w:val="none"/>
        </w:rPr>
        <w:t>万元，下降</w:t>
      </w:r>
      <w:r>
        <w:rPr>
          <w:rFonts w:hint="default" w:ascii="Times New Roman" w:hAnsi="Times New Roman" w:eastAsia="方正仿宋_GBK" w:cs="Times New Roman"/>
          <w:bCs/>
          <w:highlight w:val="none"/>
          <w:lang w:val="en-US" w:eastAsia="zh-CN"/>
        </w:rPr>
        <w:t>6.4</w:t>
      </w:r>
      <w:r>
        <w:rPr>
          <w:rFonts w:hint="default" w:ascii="Times New Roman" w:hAnsi="Times New Roman" w:eastAsia="方正仿宋_GBK" w:cs="Times New Roman"/>
          <w:bCs/>
          <w:highlight w:val="none"/>
        </w:rPr>
        <w:t>%。</w:t>
      </w:r>
    </w:p>
    <w:p>
      <w:pPr>
        <w:spacing w:line="600" w:lineRule="exact"/>
        <w:ind w:firstLine="640" w:firstLineChars="200"/>
        <w:rPr>
          <w:rFonts w:hint="default" w:ascii="Times New Roman" w:hAnsi="Times New Roman" w:eastAsia="方正黑体_GBK" w:cs="Times New Roman"/>
          <w:sz w:val="30"/>
          <w:szCs w:val="30"/>
          <w:highlight w:val="none"/>
        </w:rPr>
      </w:pPr>
      <w:r>
        <w:rPr>
          <w:rFonts w:hint="default" w:ascii="Times New Roman" w:hAnsi="Times New Roman" w:eastAsia="方正仿宋_GBK" w:cs="Times New Roman"/>
          <w:highlight w:val="none"/>
        </w:rPr>
        <w:t>全县金融机构人民币存贷款余额</w:t>
      </w:r>
      <w:r>
        <w:rPr>
          <w:rFonts w:hint="default" w:ascii="Times New Roman" w:hAnsi="Times New Roman" w:eastAsia="方正仿宋_GBK" w:cs="Times New Roman"/>
          <w:highlight w:val="none"/>
          <w:lang w:val="en-US" w:eastAsia="zh-CN"/>
        </w:rPr>
        <w:t>1284548</w:t>
      </w:r>
      <w:r>
        <w:rPr>
          <w:rFonts w:hint="default" w:ascii="Times New Roman" w:hAnsi="Times New Roman" w:eastAsia="方正仿宋_GBK" w:cs="Times New Roman"/>
          <w:highlight w:val="none"/>
        </w:rPr>
        <w:t>万元，</w:t>
      </w:r>
      <w:r>
        <w:rPr>
          <w:rFonts w:hint="default" w:ascii="Times New Roman" w:hAnsi="Times New Roman" w:eastAsia="方正仿宋_GBK" w:cs="Times New Roman"/>
          <w:highlight w:val="none"/>
          <w:lang w:eastAsia="zh-CN"/>
        </w:rPr>
        <w:t>增长</w:t>
      </w:r>
      <w:r>
        <w:rPr>
          <w:rFonts w:hint="default" w:ascii="Times New Roman" w:hAnsi="Times New Roman" w:eastAsia="方正仿宋_GBK" w:cs="Times New Roman"/>
          <w:highlight w:val="none"/>
          <w:lang w:val="en-US" w:eastAsia="zh-CN"/>
        </w:rPr>
        <w:t>4.5</w:t>
      </w:r>
      <w:r>
        <w:rPr>
          <w:rFonts w:hint="default" w:ascii="Times New Roman" w:hAnsi="Times New Roman" w:eastAsia="方正仿宋_GBK" w:cs="Times New Roman"/>
          <w:highlight w:val="none"/>
        </w:rPr>
        <w:t>%，其中：存款余额</w:t>
      </w:r>
      <w:r>
        <w:rPr>
          <w:rFonts w:hint="default" w:ascii="Times New Roman" w:hAnsi="Times New Roman" w:eastAsia="方正仿宋_GBK" w:cs="Times New Roman"/>
          <w:highlight w:val="none"/>
          <w:lang w:val="en-US" w:eastAsia="zh-CN"/>
        </w:rPr>
        <w:t>684389</w:t>
      </w:r>
      <w:r>
        <w:rPr>
          <w:rFonts w:hint="default" w:ascii="Times New Roman" w:hAnsi="Times New Roman" w:eastAsia="方正仿宋_GBK" w:cs="Times New Roman"/>
          <w:highlight w:val="none"/>
        </w:rPr>
        <w:t>万元，</w:t>
      </w:r>
      <w:r>
        <w:rPr>
          <w:rFonts w:hint="default" w:ascii="Times New Roman" w:hAnsi="Times New Roman" w:eastAsia="方正仿宋_GBK" w:cs="Times New Roman"/>
          <w:highlight w:val="none"/>
          <w:lang w:eastAsia="zh-CN"/>
        </w:rPr>
        <w:t>增长</w:t>
      </w:r>
      <w:r>
        <w:rPr>
          <w:rFonts w:hint="default" w:ascii="Times New Roman" w:hAnsi="Times New Roman" w:eastAsia="方正仿宋_GBK" w:cs="Times New Roman"/>
          <w:highlight w:val="none"/>
          <w:lang w:val="en-US" w:eastAsia="zh-CN"/>
        </w:rPr>
        <w:t>4.2</w:t>
      </w:r>
      <w:r>
        <w:rPr>
          <w:rFonts w:hint="default" w:ascii="Times New Roman" w:hAnsi="Times New Roman" w:eastAsia="方正仿宋_GBK" w:cs="Times New Roman"/>
          <w:highlight w:val="none"/>
        </w:rPr>
        <w:t>%；贷款余额</w:t>
      </w:r>
      <w:r>
        <w:rPr>
          <w:rFonts w:hint="default" w:ascii="Times New Roman" w:hAnsi="Times New Roman" w:eastAsia="方正仿宋_GBK" w:cs="Times New Roman"/>
          <w:highlight w:val="none"/>
          <w:lang w:val="en-US" w:eastAsia="zh-CN"/>
        </w:rPr>
        <w:t>600159</w:t>
      </w:r>
      <w:r>
        <w:rPr>
          <w:rFonts w:hint="default" w:ascii="Times New Roman" w:hAnsi="Times New Roman" w:eastAsia="方正仿宋_GBK" w:cs="Times New Roman"/>
          <w:highlight w:val="none"/>
        </w:rPr>
        <w:t>万元，增长</w:t>
      </w:r>
      <w:r>
        <w:rPr>
          <w:rFonts w:hint="default" w:ascii="Times New Roman" w:hAnsi="Times New Roman" w:eastAsia="方正仿宋_GBK" w:cs="Times New Roman"/>
          <w:highlight w:val="none"/>
          <w:lang w:val="en-US" w:eastAsia="zh-CN"/>
        </w:rPr>
        <w:t>4.7</w:t>
      </w:r>
      <w:r>
        <w:rPr>
          <w:rFonts w:hint="default" w:ascii="Times New Roman" w:hAnsi="Times New Roman" w:eastAsia="方正仿宋_GBK" w:cs="Times New Roman"/>
          <w:highlight w:val="none"/>
        </w:rPr>
        <w:t>%。存贷比</w:t>
      </w:r>
      <w:r>
        <w:rPr>
          <w:rFonts w:hint="default" w:ascii="Times New Roman" w:hAnsi="Times New Roman" w:eastAsia="方正仿宋_GBK" w:cs="Times New Roman"/>
          <w:highlight w:val="none"/>
          <w:lang w:val="en-US" w:eastAsia="zh-CN"/>
        </w:rPr>
        <w:t>87.7</w:t>
      </w:r>
      <w:r>
        <w:rPr>
          <w:rFonts w:hint="default" w:ascii="Times New Roman" w:hAnsi="Times New Roman" w:eastAsia="方正仿宋_GBK" w:cs="Times New Roman"/>
          <w:highlight w:val="none"/>
        </w:rPr>
        <w:t>%。</w:t>
      </w:r>
    </w:p>
    <w:p>
      <w:pPr>
        <w:spacing w:line="600" w:lineRule="exact"/>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表6  20</w:t>
      </w:r>
      <w:r>
        <w:rPr>
          <w:rFonts w:hint="default" w:ascii="Times New Roman" w:hAnsi="Times New Roman" w:eastAsia="黑体" w:cs="Times New Roman"/>
          <w:sz w:val="28"/>
          <w:szCs w:val="28"/>
          <w:highlight w:val="none"/>
          <w:lang w:val="en-US" w:eastAsia="zh-CN"/>
        </w:rPr>
        <w:t>20</w:t>
      </w:r>
      <w:r>
        <w:rPr>
          <w:rFonts w:hint="default" w:ascii="Times New Roman" w:hAnsi="Times New Roman" w:eastAsia="黑体" w:cs="Times New Roman"/>
          <w:sz w:val="28"/>
          <w:szCs w:val="28"/>
          <w:highlight w:val="none"/>
        </w:rPr>
        <w:t>年年末元江县金融机构人民币信贷主要指标</w:t>
      </w:r>
    </w:p>
    <w:tbl>
      <w:tblPr>
        <w:tblStyle w:val="6"/>
        <w:tblW w:w="8500" w:type="dxa"/>
        <w:jc w:val="center"/>
        <w:tblInd w:w="0" w:type="dxa"/>
        <w:tblLayout w:type="fixed"/>
        <w:tblCellMar>
          <w:top w:w="15" w:type="dxa"/>
          <w:left w:w="15" w:type="dxa"/>
          <w:bottom w:w="15" w:type="dxa"/>
          <w:right w:w="15" w:type="dxa"/>
        </w:tblCellMar>
      </w:tblPr>
      <w:tblGrid>
        <w:gridCol w:w="4291"/>
        <w:gridCol w:w="789"/>
        <w:gridCol w:w="1650"/>
        <w:gridCol w:w="1770"/>
      </w:tblGrid>
      <w:tr>
        <w:tblPrEx>
          <w:tblLayout w:type="fixed"/>
          <w:tblCellMar>
            <w:top w:w="15" w:type="dxa"/>
            <w:left w:w="15" w:type="dxa"/>
            <w:bottom w:w="15" w:type="dxa"/>
            <w:right w:w="15" w:type="dxa"/>
          </w:tblCellMar>
        </w:tblPrEx>
        <w:trPr>
          <w:trHeight w:val="624" w:hRule="exact"/>
          <w:jc w:val="center"/>
        </w:trPr>
        <w:tc>
          <w:tcPr>
            <w:tcW w:w="4291" w:type="dxa"/>
            <w:tcBorders>
              <w:top w:val="single" w:color="000000" w:sz="12"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指  标</w:t>
            </w:r>
          </w:p>
        </w:tc>
        <w:tc>
          <w:tcPr>
            <w:tcW w:w="789"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单 位</w:t>
            </w:r>
          </w:p>
        </w:tc>
        <w:tc>
          <w:tcPr>
            <w:tcW w:w="1650"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绝对数</w:t>
            </w:r>
          </w:p>
        </w:tc>
        <w:tc>
          <w:tcPr>
            <w:tcW w:w="1770" w:type="dxa"/>
            <w:tcBorders>
              <w:top w:val="single" w:color="000000" w:sz="12" w:space="0"/>
              <w:left w:val="single" w:color="000000" w:sz="4" w:space="0"/>
              <w:bottom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与上年相比（%）</w:t>
            </w:r>
          </w:p>
        </w:tc>
      </w:tr>
      <w:tr>
        <w:tblPrEx>
          <w:tblLayout w:type="fixed"/>
          <w:tblCellMar>
            <w:top w:w="15" w:type="dxa"/>
            <w:left w:w="15" w:type="dxa"/>
            <w:bottom w:w="15" w:type="dxa"/>
            <w:right w:w="15" w:type="dxa"/>
          </w:tblCellMar>
        </w:tblPrEx>
        <w:trPr>
          <w:trHeight w:val="454" w:hRule="exact"/>
          <w:jc w:val="center"/>
        </w:trPr>
        <w:tc>
          <w:tcPr>
            <w:tcW w:w="4291"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存款余额</w:t>
            </w:r>
          </w:p>
        </w:tc>
        <w:tc>
          <w:tcPr>
            <w:tcW w:w="789" w:type="dxa"/>
            <w:tcBorders>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万元</w:t>
            </w:r>
          </w:p>
        </w:tc>
        <w:tc>
          <w:tcPr>
            <w:tcW w:w="165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eastAsia="zh-CN"/>
              </w:rPr>
            </w:pPr>
            <w:r>
              <w:rPr>
                <w:rFonts w:hint="default" w:ascii="Times New Roman" w:hAnsi="Times New Roman" w:eastAsia="方正仿宋_GBK" w:cs="Times New Roman"/>
                <w:sz w:val="22"/>
                <w:szCs w:val="22"/>
                <w:highlight w:val="none"/>
                <w:lang w:eastAsia="zh-CN"/>
              </w:rPr>
              <w:t xml:space="preserve"> </w:t>
            </w:r>
            <w:r>
              <w:rPr>
                <w:rFonts w:hint="default" w:ascii="Times New Roman" w:hAnsi="Times New Roman" w:eastAsia="方正仿宋_GBK" w:cs="Times New Roman"/>
                <w:sz w:val="22"/>
                <w:szCs w:val="22"/>
                <w:highlight w:val="none"/>
                <w:lang w:val="en-US" w:eastAsia="zh-CN"/>
              </w:rPr>
              <w:t>684389</w:t>
            </w:r>
          </w:p>
        </w:tc>
        <w:tc>
          <w:tcPr>
            <w:tcW w:w="1770" w:type="dxa"/>
            <w:tcBorders>
              <w:lef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4.3</w:t>
            </w:r>
          </w:p>
        </w:tc>
      </w:tr>
      <w:tr>
        <w:tblPrEx>
          <w:tblLayout w:type="fixed"/>
          <w:tblCellMar>
            <w:top w:w="15" w:type="dxa"/>
            <w:left w:w="15" w:type="dxa"/>
            <w:bottom w:w="15" w:type="dxa"/>
            <w:right w:w="15" w:type="dxa"/>
          </w:tblCellMar>
        </w:tblPrEx>
        <w:trPr>
          <w:trHeight w:val="454" w:hRule="exact"/>
          <w:jc w:val="center"/>
        </w:trPr>
        <w:tc>
          <w:tcPr>
            <w:tcW w:w="4291"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其中：境内存款</w:t>
            </w:r>
          </w:p>
        </w:tc>
        <w:tc>
          <w:tcPr>
            <w:tcW w:w="789" w:type="dxa"/>
            <w:tcBorders>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万元</w:t>
            </w:r>
          </w:p>
        </w:tc>
        <w:tc>
          <w:tcPr>
            <w:tcW w:w="165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683930</w:t>
            </w:r>
          </w:p>
        </w:tc>
        <w:tc>
          <w:tcPr>
            <w:tcW w:w="1770" w:type="dxa"/>
            <w:tcBorders>
              <w:lef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4.3</w:t>
            </w:r>
          </w:p>
        </w:tc>
      </w:tr>
      <w:tr>
        <w:tblPrEx>
          <w:tblLayout w:type="fixed"/>
          <w:tblCellMar>
            <w:top w:w="15" w:type="dxa"/>
            <w:left w:w="15" w:type="dxa"/>
            <w:bottom w:w="15" w:type="dxa"/>
            <w:right w:w="15" w:type="dxa"/>
          </w:tblCellMar>
        </w:tblPrEx>
        <w:trPr>
          <w:trHeight w:val="454" w:hRule="exact"/>
          <w:jc w:val="center"/>
        </w:trPr>
        <w:tc>
          <w:tcPr>
            <w:tcW w:w="4291"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境外存款</w:t>
            </w:r>
          </w:p>
        </w:tc>
        <w:tc>
          <w:tcPr>
            <w:tcW w:w="789" w:type="dxa"/>
            <w:tcBorders>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万元</w:t>
            </w:r>
          </w:p>
        </w:tc>
        <w:tc>
          <w:tcPr>
            <w:tcW w:w="165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459</w:t>
            </w:r>
          </w:p>
        </w:tc>
        <w:tc>
          <w:tcPr>
            <w:tcW w:w="1770" w:type="dxa"/>
            <w:tcBorders>
              <w:lef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8.7</w:t>
            </w:r>
          </w:p>
        </w:tc>
      </w:tr>
      <w:tr>
        <w:tblPrEx>
          <w:tblLayout w:type="fixed"/>
          <w:tblCellMar>
            <w:top w:w="15" w:type="dxa"/>
            <w:left w:w="15" w:type="dxa"/>
            <w:bottom w:w="15" w:type="dxa"/>
            <w:right w:w="15" w:type="dxa"/>
          </w:tblCellMar>
        </w:tblPrEx>
        <w:trPr>
          <w:trHeight w:val="454" w:hRule="exact"/>
          <w:jc w:val="center"/>
        </w:trPr>
        <w:tc>
          <w:tcPr>
            <w:tcW w:w="4291"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贷款余额</w:t>
            </w:r>
          </w:p>
        </w:tc>
        <w:tc>
          <w:tcPr>
            <w:tcW w:w="789" w:type="dxa"/>
            <w:tcBorders>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万元</w:t>
            </w:r>
          </w:p>
        </w:tc>
        <w:tc>
          <w:tcPr>
            <w:tcW w:w="165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600159</w:t>
            </w:r>
          </w:p>
        </w:tc>
        <w:tc>
          <w:tcPr>
            <w:tcW w:w="1770" w:type="dxa"/>
            <w:tcBorders>
              <w:lef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4.7</w:t>
            </w:r>
          </w:p>
        </w:tc>
      </w:tr>
      <w:tr>
        <w:tblPrEx>
          <w:tblLayout w:type="fixed"/>
          <w:tblCellMar>
            <w:top w:w="15" w:type="dxa"/>
            <w:left w:w="15" w:type="dxa"/>
            <w:bottom w:w="15" w:type="dxa"/>
            <w:right w:w="15" w:type="dxa"/>
          </w:tblCellMar>
        </w:tblPrEx>
        <w:trPr>
          <w:trHeight w:val="454" w:hRule="exact"/>
          <w:jc w:val="center"/>
        </w:trPr>
        <w:tc>
          <w:tcPr>
            <w:tcW w:w="4291"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其中：住户贷款</w:t>
            </w:r>
          </w:p>
        </w:tc>
        <w:tc>
          <w:tcPr>
            <w:tcW w:w="789" w:type="dxa"/>
            <w:tcBorders>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万元</w:t>
            </w:r>
          </w:p>
        </w:tc>
        <w:tc>
          <w:tcPr>
            <w:tcW w:w="165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252151</w:t>
            </w:r>
          </w:p>
        </w:tc>
        <w:tc>
          <w:tcPr>
            <w:tcW w:w="1770" w:type="dxa"/>
            <w:tcBorders>
              <w:lef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6.6</w:t>
            </w:r>
          </w:p>
        </w:tc>
      </w:tr>
      <w:tr>
        <w:tblPrEx>
          <w:tblLayout w:type="fixed"/>
          <w:tblCellMar>
            <w:top w:w="15" w:type="dxa"/>
            <w:left w:w="15" w:type="dxa"/>
            <w:bottom w:w="15" w:type="dxa"/>
            <w:right w:w="15" w:type="dxa"/>
          </w:tblCellMar>
        </w:tblPrEx>
        <w:trPr>
          <w:trHeight w:val="454" w:hRule="exact"/>
          <w:jc w:val="center"/>
        </w:trPr>
        <w:tc>
          <w:tcPr>
            <w:tcW w:w="4291" w:type="dxa"/>
            <w:tcBorders>
              <w:bottom w:val="single" w:color="000000" w:sz="12" w:space="0"/>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非金融企业及机关团体贷款</w:t>
            </w:r>
          </w:p>
        </w:tc>
        <w:tc>
          <w:tcPr>
            <w:tcW w:w="789" w:type="dxa"/>
            <w:tcBorders>
              <w:bottom w:val="single" w:color="000000" w:sz="12"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万元</w:t>
            </w:r>
          </w:p>
        </w:tc>
        <w:tc>
          <w:tcPr>
            <w:tcW w:w="1650" w:type="dxa"/>
            <w:tcBorders>
              <w:left w:val="single" w:color="000000" w:sz="4" w:space="0"/>
              <w:bottom w:val="single" w:color="000000" w:sz="12"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348008</w:t>
            </w:r>
          </w:p>
        </w:tc>
        <w:tc>
          <w:tcPr>
            <w:tcW w:w="1770" w:type="dxa"/>
            <w:tcBorders>
              <w:left w:val="single" w:color="000000" w:sz="4" w:space="0"/>
              <w:bottom w:val="single" w:color="000000" w:sz="12" w:space="0"/>
            </w:tcBorders>
            <w:vAlign w:val="center"/>
          </w:tcPr>
          <w:p>
            <w:pPr>
              <w:widowControl/>
              <w:jc w:val="center"/>
              <w:textAlignment w:val="center"/>
              <w:rPr>
                <w:rFonts w:hint="default" w:ascii="Times New Roman" w:hAnsi="Times New Roman" w:eastAsia="方正仿宋_GBK" w:cs="Times New Roman"/>
                <w:sz w:val="22"/>
                <w:szCs w:val="22"/>
                <w:highlight w:val="none"/>
                <w:lang w:val="en-US" w:eastAsia="zh-CN"/>
              </w:rPr>
            </w:pPr>
            <w:r>
              <w:rPr>
                <w:rFonts w:hint="default" w:ascii="Times New Roman" w:hAnsi="Times New Roman" w:eastAsia="方正仿宋_GBK" w:cs="Times New Roman"/>
                <w:sz w:val="22"/>
                <w:szCs w:val="22"/>
                <w:highlight w:val="none"/>
                <w:lang w:val="en-US" w:eastAsia="zh-CN"/>
              </w:rPr>
              <w:t>3.4</w:t>
            </w:r>
          </w:p>
        </w:tc>
      </w:tr>
    </w:tbl>
    <w:p>
      <w:pPr>
        <w:spacing w:line="660" w:lineRule="exact"/>
        <w:ind w:firstLine="640" w:firstLineChars="200"/>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九、人事、科技、教育、文化、卫生、体育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人事：20</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年，全县在人事部门登记的各类专业技术人员</w:t>
      </w:r>
      <w:r>
        <w:rPr>
          <w:rFonts w:hint="default" w:ascii="Times New Roman" w:hAnsi="Times New Roman" w:eastAsia="方正仿宋_GBK" w:cs="Times New Roman"/>
          <w:highlight w:val="none"/>
          <w:lang w:val="en-US" w:eastAsia="zh-CN"/>
        </w:rPr>
        <w:t>4458</w:t>
      </w:r>
      <w:r>
        <w:rPr>
          <w:rFonts w:hint="default" w:ascii="Times New Roman" w:hAnsi="Times New Roman" w:eastAsia="方正仿宋_GBK" w:cs="Times New Roman"/>
          <w:highlight w:val="none"/>
        </w:rPr>
        <w:t>人</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其中非公企业</w:t>
      </w:r>
      <w:r>
        <w:rPr>
          <w:rFonts w:hint="default" w:ascii="Times New Roman" w:hAnsi="Times New Roman" w:eastAsia="方正仿宋_GBK" w:cs="Times New Roman"/>
          <w:highlight w:val="none"/>
          <w:lang w:val="en-US" w:eastAsia="zh-CN"/>
        </w:rPr>
        <w:t>754</w:t>
      </w:r>
      <w:r>
        <w:rPr>
          <w:rFonts w:hint="default" w:ascii="Times New Roman" w:hAnsi="Times New Roman" w:eastAsia="方正仿宋_GBK" w:cs="Times New Roman"/>
          <w:highlight w:val="none"/>
        </w:rPr>
        <w:t>人</w:t>
      </w:r>
      <w:r>
        <w:rPr>
          <w:rFonts w:hint="default" w:ascii="Times New Roman" w:hAnsi="Times New Roman" w:eastAsia="方正仿宋_GBK" w:cs="Times New Roman"/>
          <w:highlight w:val="none"/>
          <w:lang w:eastAsia="zh-CN"/>
        </w:rPr>
        <w:t>）</w:t>
      </w:r>
      <w:r>
        <w:rPr>
          <w:rFonts w:hint="default" w:ascii="Times New Roman" w:hAnsi="Times New Roman" w:eastAsia="方正仿宋_GBK" w:cs="Times New Roman"/>
          <w:highlight w:val="none"/>
        </w:rPr>
        <w:t>，其中：正高级职称</w:t>
      </w:r>
      <w:r>
        <w:rPr>
          <w:rFonts w:hint="default" w:ascii="Times New Roman" w:hAnsi="Times New Roman" w:eastAsia="方正仿宋_GBK" w:cs="Times New Roman"/>
          <w:highlight w:val="none"/>
          <w:lang w:val="en-US" w:eastAsia="zh-CN"/>
        </w:rPr>
        <w:t>10</w:t>
      </w:r>
      <w:r>
        <w:rPr>
          <w:rFonts w:hint="default" w:ascii="Times New Roman" w:hAnsi="Times New Roman" w:eastAsia="方正仿宋_GBK" w:cs="Times New Roman"/>
          <w:highlight w:val="none"/>
        </w:rPr>
        <w:t>人（全部事业单位），副高级职称</w:t>
      </w:r>
      <w:r>
        <w:rPr>
          <w:rFonts w:hint="default" w:ascii="Times New Roman" w:hAnsi="Times New Roman" w:eastAsia="方正仿宋_GBK" w:cs="Times New Roman"/>
          <w:highlight w:val="none"/>
          <w:lang w:val="en-US" w:eastAsia="zh-CN"/>
        </w:rPr>
        <w:t>1007</w:t>
      </w:r>
      <w:r>
        <w:rPr>
          <w:rFonts w:hint="default" w:ascii="Times New Roman" w:hAnsi="Times New Roman" w:eastAsia="方正仿宋_GBK" w:cs="Times New Roman"/>
          <w:highlight w:val="none"/>
        </w:rPr>
        <w:t>人（其中非公企业</w:t>
      </w:r>
      <w:r>
        <w:rPr>
          <w:rFonts w:hint="default" w:ascii="Times New Roman" w:hAnsi="Times New Roman" w:eastAsia="方正仿宋_GBK" w:cs="Times New Roman"/>
          <w:highlight w:val="none"/>
          <w:lang w:val="en-US" w:eastAsia="zh-CN"/>
        </w:rPr>
        <w:t>23</w:t>
      </w:r>
      <w:r>
        <w:rPr>
          <w:rFonts w:hint="default" w:ascii="Times New Roman" w:hAnsi="Times New Roman" w:eastAsia="方正仿宋_GBK" w:cs="Times New Roman"/>
          <w:highlight w:val="none"/>
        </w:rPr>
        <w:t>人），中级职称</w:t>
      </w:r>
      <w:r>
        <w:rPr>
          <w:rFonts w:hint="default" w:ascii="Times New Roman" w:hAnsi="Times New Roman" w:eastAsia="方正仿宋_GBK" w:cs="Times New Roman"/>
          <w:highlight w:val="none"/>
          <w:lang w:val="en-US" w:eastAsia="zh-CN"/>
        </w:rPr>
        <w:t>1432</w:t>
      </w:r>
      <w:r>
        <w:rPr>
          <w:rFonts w:hint="default" w:ascii="Times New Roman" w:hAnsi="Times New Roman" w:eastAsia="方正仿宋_GBK" w:cs="Times New Roman"/>
          <w:highlight w:val="none"/>
        </w:rPr>
        <w:t>人（其中非公企业</w:t>
      </w:r>
      <w:r>
        <w:rPr>
          <w:rFonts w:hint="default" w:ascii="Times New Roman" w:hAnsi="Times New Roman" w:eastAsia="方正仿宋_GBK" w:cs="Times New Roman"/>
          <w:highlight w:val="none"/>
          <w:lang w:val="en-US" w:eastAsia="zh-CN"/>
        </w:rPr>
        <w:t>100</w:t>
      </w:r>
      <w:r>
        <w:rPr>
          <w:rFonts w:hint="default" w:ascii="Times New Roman" w:hAnsi="Times New Roman" w:eastAsia="方正仿宋_GBK" w:cs="Times New Roman"/>
          <w:highlight w:val="none"/>
        </w:rPr>
        <w:t>人），初级职称</w:t>
      </w:r>
      <w:r>
        <w:rPr>
          <w:rFonts w:hint="default" w:ascii="Times New Roman" w:hAnsi="Times New Roman" w:eastAsia="方正仿宋_GBK" w:cs="Times New Roman"/>
          <w:highlight w:val="none"/>
          <w:lang w:val="en-US" w:eastAsia="zh-CN"/>
        </w:rPr>
        <w:t>1772</w:t>
      </w:r>
      <w:r>
        <w:rPr>
          <w:rFonts w:hint="default" w:ascii="Times New Roman" w:hAnsi="Times New Roman" w:eastAsia="方正仿宋_GBK" w:cs="Times New Roman"/>
          <w:highlight w:val="none"/>
        </w:rPr>
        <w:t>人（其中非公企业</w:t>
      </w:r>
      <w:r>
        <w:rPr>
          <w:rFonts w:hint="default" w:ascii="Times New Roman" w:hAnsi="Times New Roman" w:eastAsia="方正仿宋_GBK" w:cs="Times New Roman"/>
          <w:highlight w:val="none"/>
          <w:lang w:val="en-US" w:eastAsia="zh-CN"/>
        </w:rPr>
        <w:t>595</w:t>
      </w:r>
      <w:r>
        <w:rPr>
          <w:rFonts w:hint="default" w:ascii="Times New Roman" w:hAnsi="Times New Roman" w:eastAsia="方正仿宋_GBK" w:cs="Times New Roman"/>
          <w:highlight w:val="none"/>
        </w:rPr>
        <w:t>人），在岗未评定职称的专业人员</w:t>
      </w:r>
      <w:r>
        <w:rPr>
          <w:rFonts w:hint="default" w:ascii="Times New Roman" w:hAnsi="Times New Roman" w:eastAsia="方正仿宋_GBK" w:cs="Times New Roman"/>
          <w:highlight w:val="none"/>
          <w:lang w:val="en-US" w:eastAsia="zh-CN"/>
        </w:rPr>
        <w:t>237</w:t>
      </w:r>
      <w:r>
        <w:rPr>
          <w:rFonts w:hint="default" w:ascii="Times New Roman" w:hAnsi="Times New Roman" w:eastAsia="方正仿宋_GBK" w:cs="Times New Roman"/>
          <w:highlight w:val="none"/>
        </w:rPr>
        <w:t>人（其中非公企业</w:t>
      </w:r>
      <w:r>
        <w:rPr>
          <w:rFonts w:hint="default" w:ascii="Times New Roman" w:hAnsi="Times New Roman" w:eastAsia="方正仿宋_GBK" w:cs="Times New Roman"/>
          <w:highlight w:val="none"/>
          <w:lang w:val="en-US" w:eastAsia="zh-CN"/>
        </w:rPr>
        <w:t>36</w:t>
      </w:r>
      <w:r>
        <w:rPr>
          <w:rFonts w:hint="default" w:ascii="Times New Roman" w:hAnsi="Times New Roman" w:eastAsia="方正仿宋_GBK" w:cs="Times New Roman"/>
          <w:highlight w:val="none"/>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科技：20</w:t>
      </w:r>
      <w:r>
        <w:rPr>
          <w:rFonts w:hint="default" w:ascii="Times New Roman" w:hAnsi="Times New Roman" w:eastAsia="方正仿宋_GBK" w:cs="Times New Roman"/>
          <w:highlight w:val="none"/>
          <w:lang w:val="en-US" w:eastAsia="zh-CN"/>
        </w:rPr>
        <w:t>20</w:t>
      </w:r>
      <w:r>
        <w:rPr>
          <w:rFonts w:hint="default" w:ascii="Times New Roman" w:hAnsi="Times New Roman" w:eastAsia="方正仿宋_GBK" w:cs="Times New Roman"/>
          <w:highlight w:val="none"/>
        </w:rPr>
        <w:t>年有效发明专利</w:t>
      </w:r>
      <w:r>
        <w:rPr>
          <w:rFonts w:hint="default" w:ascii="Times New Roman" w:hAnsi="Times New Roman" w:eastAsia="方正仿宋_GBK" w:cs="Times New Roman"/>
          <w:highlight w:val="none"/>
          <w:lang w:val="en-US" w:eastAsia="zh-CN"/>
        </w:rPr>
        <w:t>15</w:t>
      </w:r>
      <w:r>
        <w:rPr>
          <w:rFonts w:hint="default" w:ascii="Times New Roman" w:hAnsi="Times New Roman" w:eastAsia="方正仿宋_GBK" w:cs="Times New Roman"/>
          <w:highlight w:val="none"/>
        </w:rPr>
        <w:t>件，申请专利</w:t>
      </w:r>
      <w:r>
        <w:rPr>
          <w:rFonts w:hint="default" w:ascii="Times New Roman" w:hAnsi="Times New Roman" w:eastAsia="方正仿宋_GBK" w:cs="Times New Roman"/>
          <w:highlight w:val="none"/>
          <w:lang w:val="en-US" w:eastAsia="zh-CN"/>
        </w:rPr>
        <w:t>105</w:t>
      </w:r>
      <w:r>
        <w:rPr>
          <w:rFonts w:hint="default" w:ascii="Times New Roman" w:hAnsi="Times New Roman" w:eastAsia="方正仿宋_GBK" w:cs="Times New Roman"/>
          <w:highlight w:val="none"/>
        </w:rPr>
        <w:t>件，专利授权</w:t>
      </w:r>
      <w:r>
        <w:rPr>
          <w:rFonts w:hint="default" w:ascii="Times New Roman" w:hAnsi="Times New Roman" w:eastAsia="方正仿宋_GBK" w:cs="Times New Roman"/>
          <w:highlight w:val="none"/>
          <w:lang w:val="en-US" w:eastAsia="zh-CN"/>
        </w:rPr>
        <w:t>25</w:t>
      </w:r>
      <w:r>
        <w:rPr>
          <w:rFonts w:hint="default" w:ascii="Times New Roman" w:hAnsi="Times New Roman" w:eastAsia="方正仿宋_GBK" w:cs="Times New Roman"/>
          <w:highlight w:val="none"/>
        </w:rPr>
        <w:t>件，科技项目获得省市主管部门立项支持，争取项目资金</w:t>
      </w:r>
      <w:r>
        <w:rPr>
          <w:rFonts w:hint="default" w:ascii="Times New Roman" w:hAnsi="Times New Roman" w:eastAsia="方正仿宋_GBK" w:cs="Times New Roman"/>
          <w:highlight w:val="none"/>
          <w:lang w:val="en-US" w:eastAsia="zh-CN"/>
        </w:rPr>
        <w:t>58.48</w:t>
      </w:r>
      <w:r>
        <w:rPr>
          <w:rFonts w:hint="default" w:ascii="Times New Roman" w:hAnsi="Times New Roman" w:eastAsia="方正仿宋_GBK" w:cs="Times New Roman"/>
          <w:highlight w:val="none"/>
        </w:rPr>
        <w:t>万元，其中：省级</w:t>
      </w:r>
      <w:r>
        <w:rPr>
          <w:rFonts w:hint="default" w:ascii="Times New Roman" w:hAnsi="Times New Roman" w:eastAsia="方正仿宋_GBK" w:cs="Times New Roman"/>
          <w:highlight w:val="none"/>
          <w:lang w:val="en-US" w:eastAsia="zh-CN"/>
        </w:rPr>
        <w:t>11.78</w:t>
      </w:r>
      <w:r>
        <w:rPr>
          <w:rFonts w:hint="default" w:ascii="Times New Roman" w:hAnsi="Times New Roman" w:eastAsia="方正仿宋_GBK" w:cs="Times New Roman"/>
          <w:highlight w:val="none"/>
        </w:rPr>
        <w:t>万元、市级</w:t>
      </w:r>
      <w:r>
        <w:rPr>
          <w:rFonts w:hint="default" w:ascii="Times New Roman" w:hAnsi="Times New Roman" w:eastAsia="方正仿宋_GBK" w:cs="Times New Roman"/>
          <w:highlight w:val="none"/>
          <w:lang w:val="en-US" w:eastAsia="zh-CN"/>
        </w:rPr>
        <w:t>46.7万元</w:t>
      </w:r>
      <w:r>
        <w:rPr>
          <w:rFonts w:hint="default" w:ascii="Times New Roman" w:hAnsi="Times New Roman" w:eastAsia="方正仿宋_GBK" w:cs="Times New Roman"/>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themeColor="text1"/>
          <w:kern w:val="0"/>
          <w:highlight w:val="none"/>
          <w14:textFill>
            <w14:solidFill>
              <w14:schemeClr w14:val="tx1"/>
            </w14:solidFill>
          </w14:textFill>
        </w:rPr>
      </w:pPr>
      <w:r>
        <w:rPr>
          <w:rFonts w:hint="default" w:ascii="Times New Roman" w:hAnsi="Times New Roman" w:eastAsia="方正仿宋_GBK" w:cs="Times New Roman"/>
          <w:color w:val="000000" w:themeColor="text1"/>
          <w:highlight w:val="none"/>
          <w14:textFill>
            <w14:solidFill>
              <w14:schemeClr w14:val="tx1"/>
            </w14:solidFill>
          </w14:textFill>
        </w:rPr>
        <w:t>教育：20</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20</w:t>
      </w:r>
      <w:r>
        <w:rPr>
          <w:rFonts w:hint="default" w:ascii="Times New Roman" w:hAnsi="Times New Roman" w:eastAsia="方正仿宋_GBK" w:cs="Times New Roman"/>
          <w:color w:val="000000" w:themeColor="text1"/>
          <w:highlight w:val="none"/>
          <w14:textFill>
            <w14:solidFill>
              <w14:schemeClr w14:val="tx1"/>
            </w14:solidFill>
          </w14:textFill>
        </w:rPr>
        <w:t>年，全县共有普通中小学校</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73</w:t>
      </w:r>
      <w:r>
        <w:rPr>
          <w:rFonts w:hint="default" w:ascii="Times New Roman" w:hAnsi="Times New Roman" w:eastAsia="方正仿宋_GBK" w:cs="Times New Roman"/>
          <w:color w:val="000000" w:themeColor="text1"/>
          <w:highlight w:val="none"/>
          <w14:textFill>
            <w14:solidFill>
              <w14:schemeClr w14:val="tx1"/>
            </w14:solidFill>
          </w14:textFill>
        </w:rPr>
        <w:t>所（不含幼儿园）。高中毕业报考人数</w:t>
      </w:r>
      <w:r>
        <w:rPr>
          <w:rFonts w:hint="default" w:ascii="Times New Roman" w:hAnsi="Times New Roman" w:eastAsia="方正仿宋_GBK" w:cs="Times New Roman"/>
          <w:color w:val="000000" w:themeColor="text1"/>
          <w:highlight w:val="none"/>
          <w:lang w:val="en-US" w:eastAsia="zh-CN"/>
          <w14:textFill>
            <w14:solidFill>
              <w14:schemeClr w14:val="tx1"/>
            </w14:solidFill>
          </w14:textFill>
        </w:rPr>
        <w:t>1104</w:t>
      </w:r>
      <w:r>
        <w:rPr>
          <w:rFonts w:hint="default" w:ascii="Times New Roman" w:hAnsi="Times New Roman" w:eastAsia="方正仿宋_GBK" w:cs="Times New Roman"/>
          <w:color w:val="000000" w:themeColor="text1"/>
          <w:highlight w:val="none"/>
          <w14:textFill>
            <w14:solidFill>
              <w14:schemeClr w14:val="tx1"/>
            </w14:solidFill>
          </w14:textFill>
        </w:rPr>
        <w:t>人，参加高</w:t>
      </w:r>
      <w:r>
        <w:rPr>
          <w:rFonts w:hint="default" w:ascii="Times New Roman" w:hAnsi="Times New Roman" w:eastAsia="方正仿宋_GBK" w:cs="Times New Roman"/>
          <w:color w:val="auto"/>
          <w:highlight w:val="none"/>
        </w:rPr>
        <w:t>考</w:t>
      </w:r>
      <w:r>
        <w:rPr>
          <w:rFonts w:hint="default" w:ascii="Times New Roman" w:hAnsi="Times New Roman" w:eastAsia="方正仿宋_GBK" w:cs="Times New Roman"/>
          <w:color w:val="auto"/>
          <w:highlight w:val="none"/>
          <w:lang w:val="en-US" w:eastAsia="zh-CN"/>
        </w:rPr>
        <w:t>923</w:t>
      </w:r>
      <w:r>
        <w:rPr>
          <w:rFonts w:hint="default" w:ascii="Times New Roman" w:hAnsi="Times New Roman" w:eastAsia="方正仿宋_GBK" w:cs="Times New Roman"/>
          <w:color w:val="000000" w:themeColor="text1"/>
          <w:highlight w:val="none"/>
          <w14:textFill>
            <w14:solidFill>
              <w14:schemeClr w14:val="tx1"/>
            </w14:solidFill>
          </w14:textFill>
        </w:rPr>
        <w:t>人全部上线，上线率100%；录取人数988人，其中：本科233人，专科755人。国家学生体质健康标准测试达标率98%，小学学龄儿童入学率99.94%，初中学龄人口入学率85.18%，学前3年儿童入园率83.47%，小学毛入学率106.17%，小学辍学率0%，初中毛入学率106.88%，初中辍学率0%。</w:t>
      </w:r>
    </w:p>
    <w:p>
      <w:pPr>
        <w:tabs>
          <w:tab w:val="left" w:pos="0"/>
          <w:tab w:val="left" w:pos="70"/>
        </w:tabs>
        <w:spacing w:line="600" w:lineRule="exact"/>
        <w:ind w:firstLine="560" w:firstLineChars="200"/>
        <w:jc w:val="center"/>
        <w:rPr>
          <w:rFonts w:hint="default" w:ascii="Times New Roman" w:hAnsi="Times New Roman" w:eastAsia="方正黑体_GBK" w:cs="Times New Roman"/>
          <w:bCs/>
          <w:color w:val="000000" w:themeColor="text1"/>
          <w:kern w:val="0"/>
          <w:sz w:val="30"/>
          <w:szCs w:val="30"/>
          <w:highlight w:val="none"/>
          <w14:textFill>
            <w14:solidFill>
              <w14:schemeClr w14:val="tx1"/>
            </w14:solidFill>
          </w14:textFill>
        </w:rPr>
      </w:pPr>
      <w:r>
        <w:rPr>
          <w:rFonts w:hint="default" w:ascii="Times New Roman" w:hAnsi="Times New Roman" w:eastAsia="黑体" w:cs="Times New Roman"/>
          <w:bCs/>
          <w:color w:val="000000" w:themeColor="text1"/>
          <w:kern w:val="0"/>
          <w:sz w:val="28"/>
          <w:szCs w:val="28"/>
          <w:highlight w:val="none"/>
          <w14:textFill>
            <w14:solidFill>
              <w14:schemeClr w14:val="tx1"/>
            </w14:solidFill>
          </w14:textFill>
        </w:rPr>
        <w:t>表7  20</w:t>
      </w:r>
      <w:r>
        <w:rPr>
          <w:rFonts w:hint="default" w:ascii="Times New Roman" w:hAnsi="Times New Roman" w:eastAsia="黑体" w:cs="Times New Roman"/>
          <w:bCs/>
          <w:color w:val="000000" w:themeColor="text1"/>
          <w:kern w:val="0"/>
          <w:sz w:val="28"/>
          <w:szCs w:val="28"/>
          <w:highlight w:val="none"/>
          <w:lang w:val="en-US" w:eastAsia="zh-CN"/>
          <w14:textFill>
            <w14:solidFill>
              <w14:schemeClr w14:val="tx1"/>
            </w14:solidFill>
          </w14:textFill>
        </w:rPr>
        <w:t>20</w:t>
      </w:r>
      <w:r>
        <w:rPr>
          <w:rFonts w:hint="default" w:ascii="Times New Roman" w:hAnsi="Times New Roman" w:eastAsia="黑体" w:cs="Times New Roman"/>
          <w:bCs/>
          <w:color w:val="000000" w:themeColor="text1"/>
          <w:kern w:val="0"/>
          <w:sz w:val="28"/>
          <w:szCs w:val="28"/>
          <w:highlight w:val="none"/>
          <w14:textFill>
            <w14:solidFill>
              <w14:schemeClr w14:val="tx1"/>
            </w14:solidFill>
          </w14:textFill>
        </w:rPr>
        <w:t>年普通中小学基本情况</w:t>
      </w:r>
    </w:p>
    <w:tbl>
      <w:tblPr>
        <w:tblStyle w:val="6"/>
        <w:tblW w:w="7890" w:type="dxa"/>
        <w:jc w:val="center"/>
        <w:tblInd w:w="0" w:type="dxa"/>
        <w:tblLayout w:type="fixed"/>
        <w:tblCellMar>
          <w:top w:w="15" w:type="dxa"/>
          <w:left w:w="15" w:type="dxa"/>
          <w:bottom w:w="15" w:type="dxa"/>
          <w:right w:w="15" w:type="dxa"/>
        </w:tblCellMar>
      </w:tblPr>
      <w:tblGrid>
        <w:gridCol w:w="3255"/>
        <w:gridCol w:w="750"/>
        <w:gridCol w:w="1110"/>
        <w:gridCol w:w="1380"/>
        <w:gridCol w:w="1395"/>
      </w:tblGrid>
      <w:tr>
        <w:tblPrEx>
          <w:tblLayout w:type="fixed"/>
          <w:tblCellMar>
            <w:top w:w="15" w:type="dxa"/>
            <w:left w:w="15" w:type="dxa"/>
            <w:bottom w:w="15" w:type="dxa"/>
            <w:right w:w="15" w:type="dxa"/>
          </w:tblCellMar>
        </w:tblPrEx>
        <w:trPr>
          <w:trHeight w:val="667" w:hRule="exact"/>
          <w:jc w:val="center"/>
        </w:trPr>
        <w:tc>
          <w:tcPr>
            <w:tcW w:w="3255" w:type="dxa"/>
            <w:tcBorders>
              <w:top w:val="single" w:color="000000" w:sz="12"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指  标</w:t>
            </w:r>
          </w:p>
        </w:tc>
        <w:tc>
          <w:tcPr>
            <w:tcW w:w="750" w:type="dxa"/>
            <w:tcBorders>
              <w:top w:val="single" w:color="000000" w:sz="12"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学校数</w:t>
            </w:r>
          </w:p>
          <w:p>
            <w:pPr>
              <w:widowControl/>
              <w:spacing w:line="280" w:lineRule="exact"/>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(所)</w:t>
            </w:r>
          </w:p>
        </w:tc>
        <w:tc>
          <w:tcPr>
            <w:tcW w:w="1110" w:type="dxa"/>
            <w:tcBorders>
              <w:top w:val="single" w:color="000000" w:sz="12"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专任教师</w:t>
            </w: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br w:type="textWrapping"/>
            </w: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（人）</w:t>
            </w:r>
          </w:p>
        </w:tc>
        <w:tc>
          <w:tcPr>
            <w:tcW w:w="1380" w:type="dxa"/>
            <w:tcBorders>
              <w:top w:val="single" w:color="000000" w:sz="12"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在校学生人数</w:t>
            </w: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br w:type="textWrapping"/>
            </w: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（人）</w:t>
            </w:r>
          </w:p>
        </w:tc>
        <w:tc>
          <w:tcPr>
            <w:tcW w:w="1395" w:type="dxa"/>
            <w:tcBorders>
              <w:top w:val="single" w:color="000000" w:sz="12" w:space="0"/>
              <w:left w:val="single" w:color="000000" w:sz="4" w:space="0"/>
              <w:bottom w:val="single" w:color="000000" w:sz="4" w:space="0"/>
            </w:tcBorders>
            <w:vAlign w:val="center"/>
          </w:tcPr>
          <w:p>
            <w:pPr>
              <w:widowControl/>
              <w:spacing w:line="280" w:lineRule="exact"/>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毕业学生人数</w:t>
            </w: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br w:type="textWrapping"/>
            </w: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（人）</w:t>
            </w:r>
          </w:p>
        </w:tc>
      </w:tr>
      <w:tr>
        <w:tblPrEx>
          <w:tblLayout w:type="fixed"/>
          <w:tblCellMar>
            <w:top w:w="15" w:type="dxa"/>
            <w:left w:w="15" w:type="dxa"/>
            <w:bottom w:w="15" w:type="dxa"/>
            <w:right w:w="15" w:type="dxa"/>
          </w:tblCellMar>
        </w:tblPrEx>
        <w:trPr>
          <w:trHeight w:val="454" w:hRule="exact"/>
          <w:jc w:val="center"/>
        </w:trPr>
        <w:tc>
          <w:tcPr>
            <w:tcW w:w="3255" w:type="dxa"/>
            <w:tcBorders>
              <w:right w:val="single" w:color="000000" w:sz="4" w:space="0"/>
            </w:tcBorders>
            <w:vAlign w:val="center"/>
          </w:tcPr>
          <w:p>
            <w:pPr>
              <w:widowControl/>
              <w:jc w:val="left"/>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普通中小学校数（不含幼儿园）</w:t>
            </w:r>
          </w:p>
        </w:tc>
        <w:tc>
          <w:tcPr>
            <w:tcW w:w="75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73</w:t>
            </w:r>
          </w:p>
        </w:tc>
        <w:tc>
          <w:tcPr>
            <w:tcW w:w="111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2012</w:t>
            </w:r>
          </w:p>
        </w:tc>
        <w:tc>
          <w:tcPr>
            <w:tcW w:w="138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26092</w:t>
            </w:r>
          </w:p>
        </w:tc>
        <w:tc>
          <w:tcPr>
            <w:tcW w:w="1395"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6034</w:t>
            </w:r>
          </w:p>
        </w:tc>
      </w:tr>
      <w:tr>
        <w:tblPrEx>
          <w:tblLayout w:type="fixed"/>
          <w:tblCellMar>
            <w:top w:w="15" w:type="dxa"/>
            <w:left w:w="15" w:type="dxa"/>
            <w:bottom w:w="15" w:type="dxa"/>
            <w:right w:w="15" w:type="dxa"/>
          </w:tblCellMar>
        </w:tblPrEx>
        <w:trPr>
          <w:trHeight w:val="454" w:hRule="exact"/>
          <w:jc w:val="center"/>
        </w:trPr>
        <w:tc>
          <w:tcPr>
            <w:tcW w:w="3255" w:type="dxa"/>
            <w:tcBorders>
              <w:right w:val="single" w:color="000000" w:sz="4" w:space="0"/>
            </w:tcBorders>
            <w:vAlign w:val="center"/>
          </w:tcPr>
          <w:p>
            <w:pPr>
              <w:widowControl/>
              <w:jc w:val="left"/>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其中：普通高中</w:t>
            </w:r>
          </w:p>
        </w:tc>
        <w:tc>
          <w:tcPr>
            <w:tcW w:w="75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2</w:t>
            </w:r>
          </w:p>
        </w:tc>
        <w:tc>
          <w:tcPr>
            <w:tcW w:w="111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242</w:t>
            </w:r>
          </w:p>
        </w:tc>
        <w:tc>
          <w:tcPr>
            <w:tcW w:w="138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3275</w:t>
            </w:r>
          </w:p>
        </w:tc>
        <w:tc>
          <w:tcPr>
            <w:tcW w:w="1395"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994</w:t>
            </w:r>
          </w:p>
        </w:tc>
      </w:tr>
      <w:tr>
        <w:tblPrEx>
          <w:tblLayout w:type="fixed"/>
          <w:tblCellMar>
            <w:top w:w="15" w:type="dxa"/>
            <w:left w:w="15" w:type="dxa"/>
            <w:bottom w:w="15" w:type="dxa"/>
            <w:right w:w="15" w:type="dxa"/>
          </w:tblCellMar>
        </w:tblPrEx>
        <w:trPr>
          <w:trHeight w:val="454" w:hRule="exact"/>
          <w:jc w:val="center"/>
        </w:trPr>
        <w:tc>
          <w:tcPr>
            <w:tcW w:w="3255" w:type="dxa"/>
            <w:tcBorders>
              <w:right w:val="single" w:color="000000" w:sz="4" w:space="0"/>
            </w:tcBorders>
            <w:vAlign w:val="center"/>
          </w:tcPr>
          <w:p>
            <w:pPr>
              <w:widowControl/>
              <w:jc w:val="left"/>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初中</w:t>
            </w:r>
          </w:p>
        </w:tc>
        <w:tc>
          <w:tcPr>
            <w:tcW w:w="75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9</w:t>
            </w:r>
          </w:p>
        </w:tc>
        <w:tc>
          <w:tcPr>
            <w:tcW w:w="111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593</w:t>
            </w:r>
          </w:p>
        </w:tc>
        <w:tc>
          <w:tcPr>
            <w:tcW w:w="138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7127</w:t>
            </w:r>
          </w:p>
        </w:tc>
        <w:tc>
          <w:tcPr>
            <w:tcW w:w="1395"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2482</w:t>
            </w:r>
          </w:p>
        </w:tc>
      </w:tr>
      <w:tr>
        <w:tblPrEx>
          <w:tblLayout w:type="fixed"/>
          <w:tblCellMar>
            <w:top w:w="15" w:type="dxa"/>
            <w:left w:w="15" w:type="dxa"/>
            <w:bottom w:w="15" w:type="dxa"/>
            <w:right w:w="15" w:type="dxa"/>
          </w:tblCellMar>
        </w:tblPrEx>
        <w:trPr>
          <w:trHeight w:val="454" w:hRule="exact"/>
          <w:jc w:val="center"/>
        </w:trPr>
        <w:tc>
          <w:tcPr>
            <w:tcW w:w="3255" w:type="dxa"/>
            <w:tcBorders>
              <w:right w:val="single" w:color="000000" w:sz="4" w:space="0"/>
            </w:tcBorders>
            <w:vAlign w:val="center"/>
          </w:tcPr>
          <w:p>
            <w:pPr>
              <w:widowControl/>
              <w:jc w:val="left"/>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小学（含教学点）</w:t>
            </w:r>
          </w:p>
        </w:tc>
        <w:tc>
          <w:tcPr>
            <w:tcW w:w="75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62</w:t>
            </w:r>
          </w:p>
        </w:tc>
        <w:tc>
          <w:tcPr>
            <w:tcW w:w="111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1177</w:t>
            </w:r>
          </w:p>
        </w:tc>
        <w:tc>
          <w:tcPr>
            <w:tcW w:w="1380"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15690</w:t>
            </w:r>
          </w:p>
        </w:tc>
        <w:tc>
          <w:tcPr>
            <w:tcW w:w="1395"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2558</w:t>
            </w:r>
          </w:p>
        </w:tc>
      </w:tr>
      <w:tr>
        <w:tblPrEx>
          <w:tblLayout w:type="fixed"/>
          <w:tblCellMar>
            <w:top w:w="15" w:type="dxa"/>
            <w:left w:w="15" w:type="dxa"/>
            <w:bottom w:w="15" w:type="dxa"/>
            <w:right w:w="15" w:type="dxa"/>
          </w:tblCellMar>
        </w:tblPrEx>
        <w:trPr>
          <w:trHeight w:val="454" w:hRule="exact"/>
          <w:jc w:val="center"/>
        </w:trPr>
        <w:tc>
          <w:tcPr>
            <w:tcW w:w="3255" w:type="dxa"/>
            <w:tcBorders>
              <w:bottom w:val="single" w:color="000000" w:sz="12" w:space="0"/>
              <w:right w:val="single" w:color="000000" w:sz="4" w:space="0"/>
            </w:tcBorders>
            <w:vAlign w:val="center"/>
          </w:tcPr>
          <w:p>
            <w:pPr>
              <w:widowControl/>
              <w:ind w:firstLine="220" w:firstLineChars="100"/>
              <w:jc w:val="left"/>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职业</w:t>
            </w:r>
            <w:r>
              <w:rPr>
                <w:rFonts w:hint="default" w:ascii="Times New Roman" w:hAnsi="Times New Roman" w:eastAsia="方正仿宋_GBK" w:cs="Times New Roman"/>
                <w:color w:val="000000" w:themeColor="text1"/>
                <w:kern w:val="0"/>
                <w:sz w:val="22"/>
                <w:szCs w:val="22"/>
                <w:highlight w:val="none"/>
                <w:lang w:eastAsia="zh-CN"/>
                <w14:textFill>
                  <w14:solidFill>
                    <w14:schemeClr w14:val="tx1"/>
                  </w14:solidFill>
                </w14:textFill>
              </w:rPr>
              <w:t>高级</w:t>
            </w: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中学</w:t>
            </w:r>
          </w:p>
        </w:tc>
        <w:tc>
          <w:tcPr>
            <w:tcW w:w="750" w:type="dxa"/>
            <w:tcBorders>
              <w:left w:val="single" w:color="000000" w:sz="4" w:space="0"/>
              <w:bottom w:val="single" w:color="000000" w:sz="12"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1</w:t>
            </w:r>
          </w:p>
        </w:tc>
        <w:tc>
          <w:tcPr>
            <w:tcW w:w="1110" w:type="dxa"/>
            <w:tcBorders>
              <w:left w:val="single" w:color="000000" w:sz="4" w:space="0"/>
              <w:bottom w:val="single" w:color="000000" w:sz="12"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50</w:t>
            </w:r>
          </w:p>
        </w:tc>
        <w:tc>
          <w:tcPr>
            <w:tcW w:w="1380" w:type="dxa"/>
            <w:tcBorders>
              <w:left w:val="single" w:color="000000" w:sz="4" w:space="0"/>
              <w:bottom w:val="single" w:color="000000" w:sz="12"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351</w:t>
            </w:r>
          </w:p>
        </w:tc>
        <w:tc>
          <w:tcPr>
            <w:tcW w:w="1395" w:type="dxa"/>
            <w:tcBorders>
              <w:left w:val="single" w:color="000000" w:sz="4" w:space="0"/>
              <w:bottom w:val="single" w:color="000000" w:sz="12"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73</w:t>
            </w:r>
          </w:p>
        </w:tc>
      </w:tr>
    </w:tbl>
    <w:p>
      <w:pPr>
        <w:tabs>
          <w:tab w:val="left" w:pos="0"/>
          <w:tab w:val="left" w:pos="70"/>
        </w:tabs>
        <w:spacing w:line="600" w:lineRule="exact"/>
        <w:jc w:val="center"/>
        <w:rPr>
          <w:rFonts w:hint="default" w:ascii="Times New Roman" w:hAnsi="Times New Roman" w:eastAsia="方正黑体_GBK" w:cs="Times New Roman"/>
          <w:bCs/>
          <w:color w:val="000000" w:themeColor="text1"/>
          <w:kern w:val="0"/>
          <w:sz w:val="30"/>
          <w:szCs w:val="30"/>
          <w:highlight w:val="none"/>
          <w14:textFill>
            <w14:solidFill>
              <w14:schemeClr w14:val="tx1"/>
            </w14:solidFill>
          </w14:textFill>
        </w:rPr>
      </w:pPr>
      <w:r>
        <w:rPr>
          <w:rFonts w:hint="default" w:ascii="Times New Roman" w:hAnsi="Times New Roman" w:eastAsia="黑体" w:cs="Times New Roman"/>
          <w:bCs/>
          <w:color w:val="000000" w:themeColor="text1"/>
          <w:kern w:val="0"/>
          <w:sz w:val="28"/>
          <w:szCs w:val="28"/>
          <w:highlight w:val="none"/>
          <w14:textFill>
            <w14:solidFill>
              <w14:schemeClr w14:val="tx1"/>
            </w14:solidFill>
          </w14:textFill>
        </w:rPr>
        <w:t>表8  20</w:t>
      </w:r>
      <w:r>
        <w:rPr>
          <w:rFonts w:hint="default" w:ascii="Times New Roman" w:hAnsi="Times New Roman" w:eastAsia="黑体" w:cs="Times New Roman"/>
          <w:bCs/>
          <w:color w:val="000000" w:themeColor="text1"/>
          <w:kern w:val="0"/>
          <w:sz w:val="28"/>
          <w:szCs w:val="28"/>
          <w:highlight w:val="none"/>
          <w:lang w:val="en-US" w:eastAsia="zh-CN"/>
          <w14:textFill>
            <w14:solidFill>
              <w14:schemeClr w14:val="tx1"/>
            </w14:solidFill>
          </w14:textFill>
        </w:rPr>
        <w:t>20</w:t>
      </w:r>
      <w:r>
        <w:rPr>
          <w:rFonts w:hint="default" w:ascii="Times New Roman" w:hAnsi="Times New Roman" w:eastAsia="黑体" w:cs="Times New Roman"/>
          <w:bCs/>
          <w:color w:val="000000" w:themeColor="text1"/>
          <w:kern w:val="0"/>
          <w:sz w:val="28"/>
          <w:szCs w:val="28"/>
          <w:highlight w:val="none"/>
          <w14:textFill>
            <w14:solidFill>
              <w14:schemeClr w14:val="tx1"/>
            </w14:solidFill>
          </w14:textFill>
        </w:rPr>
        <w:t>年幼儿教育基本情况</w:t>
      </w:r>
    </w:p>
    <w:tbl>
      <w:tblPr>
        <w:tblStyle w:val="6"/>
        <w:tblW w:w="7985" w:type="dxa"/>
        <w:jc w:val="center"/>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
      <w:tblGrid>
        <w:gridCol w:w="3714"/>
        <w:gridCol w:w="818"/>
        <w:gridCol w:w="1687"/>
        <w:gridCol w:w="1766"/>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490" w:hRule="atLeast"/>
          <w:jc w:val="center"/>
        </w:trPr>
        <w:tc>
          <w:tcPr>
            <w:tcW w:w="3714" w:type="dxa"/>
            <w:tcBorders>
              <w:bottom w:val="single" w:color="auto"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指  标</w:t>
            </w:r>
          </w:p>
        </w:tc>
        <w:tc>
          <w:tcPr>
            <w:tcW w:w="818" w:type="dxa"/>
            <w:tcBorders>
              <w:bottom w:val="single" w:color="auto"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单 位</w:t>
            </w:r>
          </w:p>
        </w:tc>
        <w:tc>
          <w:tcPr>
            <w:tcW w:w="1687" w:type="dxa"/>
            <w:tcBorders>
              <w:bottom w:val="single" w:color="auto"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年末数</w:t>
            </w:r>
          </w:p>
        </w:tc>
        <w:tc>
          <w:tcPr>
            <w:tcW w:w="1766" w:type="dxa"/>
            <w:tcBorders>
              <w:bottom w:val="single" w:color="auto"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与上年相比（%）</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454" w:hRule="exact"/>
          <w:jc w:val="center"/>
        </w:trPr>
        <w:tc>
          <w:tcPr>
            <w:tcW w:w="3714" w:type="dxa"/>
            <w:tcBorders>
              <w:top w:val="single" w:color="auto" w:sz="4" w:space="0"/>
              <w:bottom w:val="nil"/>
            </w:tcBorders>
            <w:vAlign w:val="center"/>
          </w:tcPr>
          <w:p>
            <w:pPr>
              <w:widowControl/>
              <w:jc w:val="left"/>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幼儿园数</w:t>
            </w:r>
          </w:p>
        </w:tc>
        <w:tc>
          <w:tcPr>
            <w:tcW w:w="818" w:type="dxa"/>
            <w:tcBorders>
              <w:top w:val="single" w:color="auto" w:sz="4" w:space="0"/>
              <w:bottom w:val="nil"/>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所</w:t>
            </w:r>
          </w:p>
        </w:tc>
        <w:tc>
          <w:tcPr>
            <w:tcW w:w="1687" w:type="dxa"/>
            <w:tcBorders>
              <w:top w:val="single" w:color="auto" w:sz="4" w:space="0"/>
              <w:bottom w:val="nil"/>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30</w:t>
            </w:r>
          </w:p>
        </w:tc>
        <w:tc>
          <w:tcPr>
            <w:tcW w:w="1766" w:type="dxa"/>
            <w:tcBorders>
              <w:top w:val="single" w:color="auto" w:sz="4" w:space="0"/>
              <w:bottom w:val="nil"/>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454" w:hRule="exact"/>
          <w:jc w:val="center"/>
        </w:trPr>
        <w:tc>
          <w:tcPr>
            <w:tcW w:w="3714" w:type="dxa"/>
            <w:tcBorders>
              <w:top w:val="nil"/>
              <w:bottom w:val="nil"/>
            </w:tcBorders>
            <w:vAlign w:val="center"/>
          </w:tcPr>
          <w:p>
            <w:pPr>
              <w:widowControl/>
              <w:jc w:val="left"/>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其中：教办</w:t>
            </w:r>
          </w:p>
        </w:tc>
        <w:tc>
          <w:tcPr>
            <w:tcW w:w="818" w:type="dxa"/>
            <w:tcBorders>
              <w:top w:val="nil"/>
              <w:bottom w:val="nil"/>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所</w:t>
            </w:r>
          </w:p>
        </w:tc>
        <w:tc>
          <w:tcPr>
            <w:tcW w:w="1687" w:type="dxa"/>
            <w:tcBorders>
              <w:top w:val="nil"/>
              <w:bottom w:val="nil"/>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23</w:t>
            </w:r>
          </w:p>
        </w:tc>
        <w:tc>
          <w:tcPr>
            <w:tcW w:w="1766" w:type="dxa"/>
            <w:tcBorders>
              <w:top w:val="nil"/>
              <w:bottom w:val="nil"/>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454" w:hRule="exact"/>
          <w:jc w:val="center"/>
        </w:trPr>
        <w:tc>
          <w:tcPr>
            <w:tcW w:w="3714" w:type="dxa"/>
            <w:tcBorders>
              <w:top w:val="nil"/>
              <w:bottom w:val="nil"/>
            </w:tcBorders>
            <w:vAlign w:val="center"/>
          </w:tcPr>
          <w:p>
            <w:pPr>
              <w:widowControl/>
              <w:jc w:val="left"/>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民办</w:t>
            </w:r>
          </w:p>
        </w:tc>
        <w:tc>
          <w:tcPr>
            <w:tcW w:w="818" w:type="dxa"/>
            <w:tcBorders>
              <w:top w:val="nil"/>
              <w:bottom w:val="nil"/>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所</w:t>
            </w:r>
          </w:p>
        </w:tc>
        <w:tc>
          <w:tcPr>
            <w:tcW w:w="1687" w:type="dxa"/>
            <w:tcBorders>
              <w:top w:val="nil"/>
              <w:bottom w:val="nil"/>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7</w:t>
            </w:r>
          </w:p>
        </w:tc>
        <w:tc>
          <w:tcPr>
            <w:tcW w:w="1766" w:type="dxa"/>
            <w:tcBorders>
              <w:top w:val="nil"/>
              <w:bottom w:val="nil"/>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0</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454" w:hRule="exact"/>
          <w:jc w:val="center"/>
        </w:trPr>
        <w:tc>
          <w:tcPr>
            <w:tcW w:w="3714" w:type="dxa"/>
            <w:tcBorders>
              <w:top w:val="nil"/>
            </w:tcBorders>
            <w:vAlign w:val="center"/>
          </w:tcPr>
          <w:p>
            <w:pPr>
              <w:widowControl/>
              <w:jc w:val="left"/>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 xml:space="preserve">   在园幼儿</w:t>
            </w:r>
          </w:p>
        </w:tc>
        <w:tc>
          <w:tcPr>
            <w:tcW w:w="818" w:type="dxa"/>
            <w:tcBorders>
              <w:top w:val="nil"/>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000000" w:themeColor="text1"/>
                <w:kern w:val="0"/>
                <w:sz w:val="22"/>
                <w:szCs w:val="22"/>
                <w:highlight w:val="none"/>
                <w14:textFill>
                  <w14:solidFill>
                    <w14:schemeClr w14:val="tx1"/>
                  </w14:solidFill>
                </w14:textFill>
              </w:rPr>
              <w:t>人</w:t>
            </w:r>
          </w:p>
        </w:tc>
        <w:tc>
          <w:tcPr>
            <w:tcW w:w="1687" w:type="dxa"/>
            <w:tcBorders>
              <w:top w:val="nil"/>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14:textFill>
                  <w14:solidFill>
                    <w14:schemeClr w14:val="tx1"/>
                  </w14:solidFill>
                </w14:textFill>
              </w:rPr>
            </w:pPr>
            <w:r>
              <w:rPr>
                <w:rFonts w:hint="default" w:ascii="Times New Roman" w:hAnsi="Times New Roman" w:eastAsia="方正仿宋_GBK" w:cs="Times New Roman"/>
                <w:color w:val="auto"/>
                <w:sz w:val="22"/>
                <w:szCs w:val="22"/>
                <w:highlight w:val="none"/>
              </w:rPr>
              <w:t>6261</w:t>
            </w:r>
          </w:p>
        </w:tc>
        <w:tc>
          <w:tcPr>
            <w:tcW w:w="1766" w:type="dxa"/>
            <w:tcBorders>
              <w:top w:val="nil"/>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lang w:eastAsia="zh-CN"/>
                <w14:textFill>
                  <w14:solidFill>
                    <w14:schemeClr w14:val="tx1"/>
                  </w14:solidFill>
                </w14:textFill>
              </w:rPr>
            </w:pPr>
            <w:r>
              <w:rPr>
                <w:rFonts w:hint="default" w:ascii="Times New Roman" w:hAnsi="Times New Roman" w:eastAsia="方正仿宋_GBK" w:cs="Times New Roman"/>
                <w:color w:val="auto"/>
                <w:sz w:val="22"/>
                <w:szCs w:val="22"/>
                <w:highlight w:val="none"/>
              </w:rPr>
              <w:t>32.</w:t>
            </w:r>
            <w:r>
              <w:rPr>
                <w:rFonts w:hint="default" w:ascii="Times New Roman" w:hAnsi="Times New Roman" w:eastAsia="方正仿宋_GBK" w:cs="Times New Roman"/>
                <w:color w:val="auto"/>
                <w:sz w:val="22"/>
                <w:szCs w:val="22"/>
                <w:highlight w:val="none"/>
                <w:lang w:val="en-US" w:eastAsia="zh-CN"/>
              </w:rPr>
              <w:t>4</w:t>
            </w:r>
          </w:p>
        </w:tc>
      </w:tr>
    </w:tbl>
    <w:p>
      <w:pPr>
        <w:keepNext w:val="0"/>
        <w:keepLines w:val="0"/>
        <w:pageBreakBefore w:val="0"/>
        <w:widowControl w:val="0"/>
        <w:tabs>
          <w:tab w:val="left" w:pos="0"/>
          <w:tab w:val="left" w:pos="7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themeColor="text1"/>
          <w:kern w:val="0"/>
          <w:highlight w:val="none"/>
          <w14:textFill>
            <w14:solidFill>
              <w14:schemeClr w14:val="tx1"/>
            </w14:solidFill>
          </w14:textFill>
        </w:rPr>
      </w:pPr>
      <w:r>
        <w:rPr>
          <w:rFonts w:hint="default" w:ascii="Times New Roman" w:hAnsi="Times New Roman" w:eastAsia="方正仿宋_GBK" w:cs="Times New Roman"/>
          <w:bCs/>
          <w:color w:val="000000" w:themeColor="text1"/>
          <w:kern w:val="0"/>
          <w:highlight w:val="none"/>
          <w14:textFill>
            <w14:solidFill>
              <w14:schemeClr w14:val="tx1"/>
            </w14:solidFill>
          </w14:textFill>
        </w:rPr>
        <w:t>2020年全县共投入“三免一补”资金3143.49万元，15868名城乡义务教育学生享受营养改善计划补助，7388名义务教育家庭经济困难学生享受生活补助，农村中小学家庭经济困难学生生活水平不断提高。</w:t>
      </w:r>
    </w:p>
    <w:p>
      <w:pPr>
        <w:keepNext w:val="0"/>
        <w:keepLines w:val="0"/>
        <w:pageBreakBefore w:val="0"/>
        <w:widowControl w:val="0"/>
        <w:tabs>
          <w:tab w:val="left" w:pos="0"/>
          <w:tab w:val="left" w:pos="70"/>
        </w:tabs>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Cs/>
          <w:kern w:val="0"/>
          <w:highlight w:val="none"/>
        </w:rPr>
      </w:pPr>
      <w:r>
        <w:rPr>
          <w:rFonts w:hint="default" w:ascii="Times New Roman" w:hAnsi="Times New Roman" w:eastAsia="方正仿宋_GBK" w:cs="Times New Roman"/>
          <w:bCs/>
          <w:kern w:val="0"/>
          <w:highlight w:val="none"/>
        </w:rPr>
        <w:t>文化：全县共有文化馆</w:t>
      </w:r>
      <w:r>
        <w:rPr>
          <w:rFonts w:hint="default" w:ascii="Times New Roman" w:hAnsi="Times New Roman" w:eastAsia="方正仿宋_GBK" w:cs="Times New Roman"/>
          <w:bCs/>
          <w:kern w:val="0"/>
          <w:highlight w:val="none"/>
          <w:lang w:val="en-US" w:eastAsia="zh-CN"/>
        </w:rPr>
        <w:t>1</w:t>
      </w:r>
      <w:r>
        <w:rPr>
          <w:rFonts w:hint="default" w:ascii="Times New Roman" w:hAnsi="Times New Roman" w:eastAsia="方正仿宋_GBK" w:cs="Times New Roman"/>
          <w:bCs/>
          <w:kern w:val="0"/>
          <w:highlight w:val="none"/>
        </w:rPr>
        <w:t>个，公共图书馆</w:t>
      </w:r>
      <w:r>
        <w:rPr>
          <w:rFonts w:hint="default" w:ascii="Times New Roman" w:hAnsi="Times New Roman" w:eastAsia="方正仿宋_GBK" w:cs="Times New Roman"/>
          <w:bCs/>
          <w:kern w:val="0"/>
          <w:highlight w:val="none"/>
          <w:lang w:val="en-US" w:eastAsia="zh-CN"/>
        </w:rPr>
        <w:t>1</w:t>
      </w:r>
      <w:r>
        <w:rPr>
          <w:rFonts w:hint="default" w:ascii="Times New Roman" w:hAnsi="Times New Roman" w:eastAsia="方正仿宋_GBK" w:cs="Times New Roman"/>
          <w:bCs/>
          <w:kern w:val="0"/>
          <w:highlight w:val="none"/>
        </w:rPr>
        <w:t>个，乡镇（街道）文化站</w:t>
      </w:r>
      <w:r>
        <w:rPr>
          <w:rFonts w:hint="default" w:ascii="Times New Roman" w:hAnsi="Times New Roman" w:eastAsia="方正仿宋_GBK" w:cs="Times New Roman"/>
          <w:bCs/>
          <w:kern w:val="0"/>
          <w:highlight w:val="none"/>
          <w:lang w:val="en-US" w:eastAsia="zh-CN"/>
        </w:rPr>
        <w:t>10</w:t>
      </w:r>
      <w:r>
        <w:rPr>
          <w:rFonts w:hint="default" w:ascii="Times New Roman" w:hAnsi="Times New Roman" w:eastAsia="方正仿宋_GBK" w:cs="Times New Roman"/>
          <w:bCs/>
          <w:kern w:val="0"/>
          <w:highlight w:val="none"/>
        </w:rPr>
        <w:t>个。被列入国家级“非物质文化遗产”名录项目1个，省级项目3个</w:t>
      </w:r>
      <w:r>
        <w:rPr>
          <w:rFonts w:hint="eastAsia" w:eastAsia="方正仿宋_GBK" w:cs="Times New Roman"/>
          <w:bCs/>
          <w:kern w:val="0"/>
          <w:highlight w:val="none"/>
          <w:lang w:eastAsia="zh-CN"/>
        </w:rPr>
        <w:t>。</w:t>
      </w:r>
      <w:r>
        <w:rPr>
          <w:rFonts w:hint="default" w:ascii="Times New Roman" w:hAnsi="Times New Roman" w:eastAsia="方正仿宋_GBK" w:cs="Times New Roman"/>
          <w:bCs/>
          <w:kern w:val="0"/>
          <w:highlight w:val="none"/>
        </w:rPr>
        <w:t>省级民族传统文化生态保护区1个，市级项目26个，县级项目47个。省级重点文物保护单位4处，市级8处，县级11处。国家级非物质文化遗产代表性传承人1人，省级9人，市级25人，县级130人。全年县群众文化工作队下乡共演出56场次，观众达4.25万余人次。县文化馆共组织各类文艺活动8场次，观众达9万余人次；县图书馆共开展各类读书活动6场次，读者达661余人次；全县10个乡镇（街道）文化站共组织各类文艺活动60场次，观众达3.82万余人次。2020年1-12月，全县7个农村数字电影放映队共放映故事片681场，科教片244场，广告片965场</w:t>
      </w:r>
      <w:r>
        <w:rPr>
          <w:rFonts w:hint="eastAsia" w:eastAsia="方正仿宋_GBK" w:cs="Times New Roman"/>
          <w:bCs/>
          <w:kern w:val="0"/>
          <w:highlight w:val="none"/>
          <w:lang w:eastAsia="zh-CN"/>
        </w:rPr>
        <w:t>，</w:t>
      </w:r>
      <w:r>
        <w:rPr>
          <w:rFonts w:hint="default" w:ascii="Times New Roman" w:hAnsi="Times New Roman" w:eastAsia="方正仿宋_GBK" w:cs="Times New Roman"/>
          <w:bCs/>
          <w:kern w:val="0"/>
          <w:highlight w:val="none"/>
        </w:rPr>
        <w:t>全年观看人数达37392人次。</w:t>
      </w:r>
    </w:p>
    <w:p>
      <w:pPr>
        <w:keepNext w:val="0"/>
        <w:keepLines w:val="0"/>
        <w:pageBreakBefore w:val="0"/>
        <w:widowControl w:val="0"/>
        <w:tabs>
          <w:tab w:val="left" w:pos="0"/>
          <w:tab w:val="left" w:pos="70"/>
        </w:tabs>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Cs/>
          <w:kern w:val="0"/>
          <w:highlight w:val="none"/>
        </w:rPr>
      </w:pPr>
      <w:r>
        <w:rPr>
          <w:rFonts w:hint="default" w:ascii="Times New Roman" w:hAnsi="Times New Roman" w:eastAsia="方正仿宋_GBK" w:cs="Times New Roman"/>
          <w:bCs/>
          <w:kern w:val="0"/>
          <w:highlight w:val="none"/>
        </w:rPr>
        <w:t>县图书馆藏书</w:t>
      </w:r>
      <w:r>
        <w:rPr>
          <w:rFonts w:hint="default" w:ascii="Times New Roman" w:hAnsi="Times New Roman" w:eastAsia="方正仿宋_GBK" w:cs="Times New Roman"/>
          <w:bCs/>
          <w:kern w:val="0"/>
          <w:highlight w:val="none"/>
          <w:lang w:val="en-US" w:eastAsia="zh-CN"/>
        </w:rPr>
        <w:t>4.04万</w:t>
      </w:r>
      <w:r>
        <w:rPr>
          <w:rFonts w:hint="default" w:ascii="Times New Roman" w:hAnsi="Times New Roman" w:eastAsia="方正仿宋_GBK" w:cs="Times New Roman"/>
          <w:bCs/>
          <w:kern w:val="0"/>
          <w:highlight w:val="none"/>
        </w:rPr>
        <w:t>册、报纸</w:t>
      </w:r>
      <w:r>
        <w:rPr>
          <w:rFonts w:hint="default" w:ascii="Times New Roman" w:hAnsi="Times New Roman" w:eastAsia="方正仿宋_GBK" w:cs="Times New Roman"/>
          <w:bCs/>
          <w:kern w:val="0"/>
          <w:highlight w:val="none"/>
          <w:lang w:val="en-US" w:eastAsia="zh-CN"/>
        </w:rPr>
        <w:t>4</w:t>
      </w:r>
      <w:r>
        <w:rPr>
          <w:rFonts w:hint="default" w:ascii="Times New Roman" w:hAnsi="Times New Roman" w:eastAsia="方正仿宋_GBK" w:cs="Times New Roman"/>
          <w:bCs/>
          <w:kern w:val="0"/>
          <w:highlight w:val="none"/>
        </w:rPr>
        <w:t>种</w:t>
      </w:r>
      <w:r>
        <w:rPr>
          <w:rFonts w:hint="default" w:ascii="Times New Roman" w:hAnsi="Times New Roman" w:eastAsia="方正仿宋_GBK" w:cs="Times New Roman"/>
          <w:bCs/>
          <w:kern w:val="0"/>
          <w:highlight w:val="none"/>
          <w:lang w:eastAsia="zh-CN"/>
        </w:rPr>
        <w:t>。</w:t>
      </w:r>
      <w:r>
        <w:rPr>
          <w:rFonts w:hint="default" w:ascii="Times New Roman" w:hAnsi="Times New Roman" w:eastAsia="方正仿宋_GBK" w:cs="Times New Roman"/>
          <w:bCs/>
          <w:kern w:val="0"/>
          <w:highlight w:val="none"/>
        </w:rPr>
        <w:t>县档案馆馆藏档案</w:t>
      </w:r>
      <w:r>
        <w:rPr>
          <w:rFonts w:hint="default" w:ascii="Times New Roman" w:hAnsi="Times New Roman" w:eastAsia="方正仿宋_GBK" w:cs="Times New Roman"/>
          <w:bCs/>
          <w:kern w:val="0"/>
          <w:highlight w:val="none"/>
          <w:lang w:val="en-US" w:eastAsia="zh-CN"/>
        </w:rPr>
        <w:t>合计100375卷</w:t>
      </w:r>
      <w:r>
        <w:rPr>
          <w:rFonts w:hint="default" w:ascii="Times New Roman" w:hAnsi="Times New Roman" w:eastAsia="方正仿宋_GBK" w:cs="Times New Roman"/>
          <w:bCs/>
          <w:kern w:val="0"/>
          <w:highlight w:val="none"/>
        </w:rPr>
        <w:t>。</w:t>
      </w:r>
    </w:p>
    <w:p>
      <w:pPr>
        <w:keepNext w:val="0"/>
        <w:keepLines w:val="0"/>
        <w:pageBreakBefore w:val="0"/>
        <w:widowControl w:val="0"/>
        <w:tabs>
          <w:tab w:val="left" w:pos="0"/>
          <w:tab w:val="left" w:pos="70"/>
        </w:tabs>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Cs/>
          <w:color w:val="000000"/>
          <w:kern w:val="0"/>
          <w:highlight w:val="none"/>
        </w:rPr>
      </w:pPr>
      <w:r>
        <w:rPr>
          <w:rFonts w:hint="default" w:ascii="Times New Roman" w:hAnsi="Times New Roman" w:eastAsia="方正仿宋_GBK" w:cs="Times New Roman"/>
          <w:bCs/>
          <w:color w:val="000000"/>
          <w:kern w:val="0"/>
          <w:highlight w:val="none"/>
        </w:rPr>
        <w:t>20</w:t>
      </w:r>
      <w:r>
        <w:rPr>
          <w:rFonts w:hint="default" w:ascii="Times New Roman" w:hAnsi="Times New Roman" w:eastAsia="方正仿宋_GBK" w:cs="Times New Roman"/>
          <w:bCs/>
          <w:color w:val="000000"/>
          <w:kern w:val="0"/>
          <w:highlight w:val="none"/>
          <w:lang w:val="en-US" w:eastAsia="zh-CN"/>
        </w:rPr>
        <w:t>20</w:t>
      </w:r>
      <w:r>
        <w:rPr>
          <w:rFonts w:hint="default" w:ascii="Times New Roman" w:hAnsi="Times New Roman" w:eastAsia="方正仿宋_GBK" w:cs="Times New Roman"/>
          <w:bCs/>
          <w:color w:val="000000"/>
          <w:kern w:val="0"/>
          <w:highlight w:val="none"/>
        </w:rPr>
        <w:t>年末全县广播人口综合覆盖率达</w:t>
      </w:r>
      <w:r>
        <w:rPr>
          <w:rFonts w:hint="default" w:ascii="Times New Roman" w:hAnsi="Times New Roman" w:eastAsia="方正仿宋_GBK" w:cs="Times New Roman"/>
          <w:bCs/>
          <w:color w:val="000000"/>
          <w:kern w:val="0"/>
          <w:highlight w:val="none"/>
          <w:lang w:val="en-US" w:eastAsia="zh-CN"/>
        </w:rPr>
        <w:t>100</w:t>
      </w:r>
      <w:r>
        <w:rPr>
          <w:rFonts w:hint="default" w:ascii="Times New Roman" w:hAnsi="Times New Roman" w:eastAsia="方正仿宋_GBK" w:cs="Times New Roman"/>
          <w:bCs/>
          <w:color w:val="000000"/>
          <w:kern w:val="0"/>
          <w:highlight w:val="none"/>
        </w:rPr>
        <w:t>%，电视人口综合覆盖率达</w:t>
      </w:r>
      <w:r>
        <w:rPr>
          <w:rFonts w:hint="default" w:ascii="Times New Roman" w:hAnsi="Times New Roman" w:eastAsia="方正仿宋_GBK" w:cs="Times New Roman"/>
          <w:bCs/>
          <w:color w:val="000000"/>
          <w:kern w:val="0"/>
          <w:highlight w:val="none"/>
          <w:lang w:val="en-US" w:eastAsia="zh-CN"/>
        </w:rPr>
        <w:t>100</w:t>
      </w:r>
      <w:r>
        <w:rPr>
          <w:rFonts w:hint="default" w:ascii="Times New Roman" w:hAnsi="Times New Roman" w:eastAsia="方正仿宋_GBK" w:cs="Times New Roman"/>
          <w:bCs/>
          <w:color w:val="000000"/>
          <w:kern w:val="0"/>
          <w:highlight w:val="none"/>
        </w:rPr>
        <w:t>%。本地节目覆盖率达</w:t>
      </w:r>
      <w:r>
        <w:rPr>
          <w:rFonts w:hint="default" w:ascii="Times New Roman" w:hAnsi="Times New Roman" w:eastAsia="方正仿宋_GBK" w:cs="Times New Roman"/>
          <w:bCs/>
          <w:color w:val="000000"/>
          <w:kern w:val="0"/>
          <w:highlight w:val="none"/>
          <w:lang w:val="en-US" w:eastAsia="zh-CN"/>
        </w:rPr>
        <w:t>76</w:t>
      </w:r>
      <w:r>
        <w:rPr>
          <w:rFonts w:hint="default" w:ascii="Times New Roman" w:hAnsi="Times New Roman" w:eastAsia="方正仿宋_GBK" w:cs="Times New Roman"/>
          <w:bCs/>
          <w:color w:val="000000"/>
          <w:kern w:val="0"/>
          <w:highlight w:val="none"/>
        </w:rPr>
        <w:t>%，县电视台全年共播出新闻</w:t>
      </w:r>
      <w:r>
        <w:rPr>
          <w:rFonts w:hint="default" w:ascii="Times New Roman" w:hAnsi="Times New Roman" w:eastAsia="方正仿宋_GBK" w:cs="Times New Roman"/>
          <w:bCs/>
          <w:color w:val="000000"/>
          <w:kern w:val="0"/>
          <w:highlight w:val="none"/>
          <w:lang w:val="en-US" w:eastAsia="zh-CN"/>
        </w:rPr>
        <w:t>1155</w:t>
      </w:r>
      <w:r>
        <w:rPr>
          <w:rFonts w:hint="default" w:ascii="Times New Roman" w:hAnsi="Times New Roman" w:eastAsia="方正仿宋_GBK" w:cs="Times New Roman"/>
          <w:bCs/>
          <w:color w:val="000000"/>
          <w:kern w:val="0"/>
          <w:highlight w:val="none"/>
        </w:rPr>
        <w:t>条，在市级电视台播出</w:t>
      </w:r>
      <w:r>
        <w:rPr>
          <w:rFonts w:hint="default" w:ascii="Times New Roman" w:hAnsi="Times New Roman" w:eastAsia="方正仿宋_GBK" w:cs="Times New Roman"/>
          <w:bCs/>
          <w:color w:val="000000"/>
          <w:kern w:val="0"/>
          <w:highlight w:val="none"/>
          <w:lang w:val="en-US" w:eastAsia="zh-CN"/>
        </w:rPr>
        <w:t>676</w:t>
      </w:r>
      <w:r>
        <w:rPr>
          <w:rFonts w:hint="default" w:ascii="Times New Roman" w:hAnsi="Times New Roman" w:eastAsia="方正仿宋_GBK" w:cs="Times New Roman"/>
          <w:bCs/>
          <w:color w:val="000000"/>
          <w:kern w:val="0"/>
          <w:highlight w:val="none"/>
        </w:rPr>
        <w:t>条，在省级电视台播出</w:t>
      </w:r>
      <w:r>
        <w:rPr>
          <w:rFonts w:hint="default" w:ascii="Times New Roman" w:hAnsi="Times New Roman" w:eastAsia="方正仿宋_GBK" w:cs="Times New Roman"/>
          <w:bCs/>
          <w:color w:val="000000"/>
          <w:kern w:val="0"/>
          <w:highlight w:val="none"/>
          <w:lang w:val="en-US" w:eastAsia="zh-CN"/>
        </w:rPr>
        <w:t>201</w:t>
      </w:r>
      <w:r>
        <w:rPr>
          <w:rFonts w:hint="default" w:ascii="Times New Roman" w:hAnsi="Times New Roman" w:eastAsia="方正仿宋_GBK" w:cs="Times New Roman"/>
          <w:bCs/>
          <w:color w:val="000000"/>
          <w:kern w:val="0"/>
          <w:highlight w:val="none"/>
        </w:rPr>
        <w:t>条，在中央电视台播出</w:t>
      </w:r>
      <w:r>
        <w:rPr>
          <w:rFonts w:hint="default" w:ascii="Times New Roman" w:hAnsi="Times New Roman" w:eastAsia="方正仿宋_GBK" w:cs="Times New Roman"/>
          <w:bCs/>
          <w:color w:val="000000"/>
          <w:kern w:val="0"/>
          <w:highlight w:val="none"/>
          <w:lang w:val="en-US" w:eastAsia="zh-CN"/>
        </w:rPr>
        <w:t>14</w:t>
      </w:r>
      <w:r>
        <w:rPr>
          <w:rFonts w:hint="default" w:ascii="Times New Roman" w:hAnsi="Times New Roman" w:eastAsia="方正仿宋_GBK" w:cs="Times New Roman"/>
          <w:bCs/>
          <w:color w:val="000000"/>
          <w:kern w:val="0"/>
          <w:highlight w:val="none"/>
        </w:rPr>
        <w:t>条，拍摄制作电视专题片</w:t>
      </w:r>
      <w:r>
        <w:rPr>
          <w:rFonts w:hint="default" w:ascii="Times New Roman" w:hAnsi="Times New Roman" w:eastAsia="方正仿宋_GBK" w:cs="Times New Roman"/>
          <w:bCs/>
          <w:color w:val="000000"/>
          <w:kern w:val="0"/>
          <w:highlight w:val="none"/>
          <w:lang w:val="en-US" w:eastAsia="zh-CN"/>
        </w:rPr>
        <w:t>7</w:t>
      </w:r>
      <w:r>
        <w:rPr>
          <w:rFonts w:hint="default" w:ascii="Times New Roman" w:hAnsi="Times New Roman" w:eastAsia="方正仿宋_GBK" w:cs="Times New Roman"/>
          <w:bCs/>
          <w:color w:val="000000"/>
          <w:kern w:val="0"/>
          <w:highlight w:val="none"/>
        </w:rPr>
        <w:t>部，</w:t>
      </w:r>
      <w:r>
        <w:rPr>
          <w:rFonts w:hint="default" w:ascii="Times New Roman" w:hAnsi="Times New Roman" w:eastAsia="方正仿宋_GBK" w:cs="Times New Roman"/>
          <w:bCs/>
          <w:color w:val="000000"/>
          <w:kern w:val="0"/>
          <w:highlight w:val="none"/>
          <w:lang w:eastAsia="zh-CN"/>
        </w:rPr>
        <w:t>《唱响元江》第二辑</w:t>
      </w:r>
      <w:r>
        <w:rPr>
          <w:rFonts w:hint="default" w:ascii="Times New Roman" w:hAnsi="Times New Roman" w:eastAsia="方正仿宋_GBK" w:cs="Times New Roman"/>
          <w:bCs/>
          <w:color w:val="000000"/>
          <w:kern w:val="0"/>
          <w:highlight w:val="none"/>
          <w:lang w:val="en-US" w:eastAsia="zh-CN"/>
        </w:rPr>
        <w:t>MV13首，</w:t>
      </w:r>
      <w:r>
        <w:rPr>
          <w:rFonts w:hint="default" w:ascii="Times New Roman" w:hAnsi="Times New Roman" w:eastAsia="方正仿宋_GBK" w:cs="Times New Roman"/>
          <w:bCs/>
          <w:color w:val="000000"/>
          <w:kern w:val="0"/>
          <w:highlight w:val="none"/>
        </w:rPr>
        <w:t>播出专栏节目</w:t>
      </w:r>
      <w:r>
        <w:rPr>
          <w:rFonts w:hint="default" w:ascii="Times New Roman" w:hAnsi="Times New Roman" w:eastAsia="方正仿宋_GBK" w:cs="Times New Roman"/>
          <w:bCs/>
          <w:color w:val="000000"/>
          <w:kern w:val="0"/>
          <w:highlight w:val="none"/>
          <w:lang w:val="en-US" w:eastAsia="zh-CN"/>
        </w:rPr>
        <w:t>523</w:t>
      </w:r>
      <w:r>
        <w:rPr>
          <w:rFonts w:hint="default" w:ascii="Times New Roman" w:hAnsi="Times New Roman" w:eastAsia="方正仿宋_GBK" w:cs="Times New Roman"/>
          <w:bCs/>
          <w:color w:val="000000"/>
          <w:kern w:val="0"/>
          <w:highlight w:val="none"/>
        </w:rPr>
        <w:t>期。</w:t>
      </w:r>
    </w:p>
    <w:p>
      <w:pPr>
        <w:keepNext w:val="0"/>
        <w:keepLines w:val="0"/>
        <w:pageBreakBefore w:val="0"/>
        <w:widowControl w:val="0"/>
        <w:tabs>
          <w:tab w:val="left" w:pos="0"/>
          <w:tab w:val="left" w:pos="70"/>
        </w:tabs>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bCs/>
          <w:kern w:val="0"/>
          <w:highlight w:val="none"/>
        </w:rPr>
      </w:pPr>
      <w:r>
        <w:rPr>
          <w:rFonts w:hint="default" w:ascii="Times New Roman" w:hAnsi="Times New Roman" w:eastAsia="方正仿宋_GBK" w:cs="Times New Roman"/>
          <w:highlight w:val="none"/>
          <w:lang w:eastAsia="zh-CN"/>
        </w:rPr>
        <w:t>2020年末全县实有住宿设施169家，其中：星级旅游饭店1家。共有床位6661张，其中：星级旅游饭店床位163张。实有乡村旅游星级接待单位16家，其中：四星级2家，三星级12家，二星级2家。共有旅行社1家，旅行社网点3家。全年接待海外旅游者282人次，接待国内旅游者264.78万人次，</w:t>
      </w:r>
      <w:r>
        <w:rPr>
          <w:rFonts w:hint="default" w:ascii="Times New Roman" w:hAnsi="Times New Roman" w:eastAsia="方正仿宋_GBK" w:cs="Times New Roman"/>
          <w:highlight w:val="none"/>
        </w:rPr>
        <w:t>旅游业总收入达</w:t>
      </w:r>
      <w:r>
        <w:rPr>
          <w:rFonts w:hint="default" w:ascii="Times New Roman" w:hAnsi="Times New Roman" w:eastAsia="方正仿宋_GBK" w:cs="Times New Roman"/>
          <w:highlight w:val="none"/>
          <w:lang w:val="en-US" w:eastAsia="zh-CN"/>
        </w:rPr>
        <w:t>23.79</w:t>
      </w:r>
      <w:r>
        <w:rPr>
          <w:rFonts w:hint="default" w:ascii="Times New Roman" w:hAnsi="Times New Roman" w:eastAsia="方正仿宋_GBK" w:cs="Times New Roman"/>
          <w:highlight w:val="none"/>
        </w:rPr>
        <w:t>亿元。</w:t>
      </w:r>
    </w:p>
    <w:p>
      <w:pPr>
        <w:keepNext w:val="0"/>
        <w:keepLines w:val="0"/>
        <w:pageBreakBefore w:val="0"/>
        <w:widowControl w:val="0"/>
        <w:tabs>
          <w:tab w:val="left" w:pos="0"/>
          <w:tab w:val="left" w:pos="7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kern w:val="0"/>
          <w:highlight w:val="none"/>
        </w:rPr>
      </w:pPr>
      <w:r>
        <w:rPr>
          <w:rFonts w:hint="default" w:ascii="Times New Roman" w:hAnsi="Times New Roman" w:eastAsia="方正仿宋_GBK" w:cs="Times New Roman"/>
          <w:bCs/>
          <w:kern w:val="0"/>
          <w:highlight w:val="none"/>
        </w:rPr>
        <w:t>卫生：</w:t>
      </w:r>
      <w:r>
        <w:rPr>
          <w:rFonts w:hint="default" w:ascii="Times New Roman" w:hAnsi="Times New Roman" w:eastAsia="方正仿宋_GBK" w:cs="Times New Roman"/>
          <w:bCs/>
          <w:kern w:val="0"/>
          <w:highlight w:val="none"/>
          <w:lang w:eastAsia="zh-CN"/>
        </w:rPr>
        <w:t>2020</w:t>
      </w:r>
      <w:r>
        <w:rPr>
          <w:rFonts w:hint="default" w:ascii="Times New Roman" w:hAnsi="Times New Roman" w:eastAsia="方正仿宋_GBK" w:cs="Times New Roman"/>
          <w:bCs/>
          <w:kern w:val="0"/>
          <w:highlight w:val="none"/>
        </w:rPr>
        <w:t>年末，全县已婚育龄妇女人数达44642人，年内施行计划生育手术826例，累计落实各种节育措施人数35929人，“三术率”达68.78%，比上年下降1.83个百分点。全县计划生育率达89.12%，比上年</w:t>
      </w:r>
      <w:r>
        <w:rPr>
          <w:rFonts w:hint="default" w:ascii="Times New Roman" w:hAnsi="Times New Roman" w:eastAsia="方正仿宋_GBK" w:cs="Times New Roman"/>
          <w:bCs/>
          <w:color w:val="auto"/>
          <w:kern w:val="0"/>
          <w:highlight w:val="none"/>
          <w:lang w:eastAsia="zh-CN"/>
        </w:rPr>
        <w:t>上升</w:t>
      </w:r>
      <w:r>
        <w:rPr>
          <w:rFonts w:hint="default" w:ascii="Times New Roman" w:hAnsi="Times New Roman" w:eastAsia="方正仿宋_GBK" w:cs="Times New Roman"/>
          <w:bCs/>
          <w:color w:val="auto"/>
          <w:kern w:val="0"/>
          <w:highlight w:val="none"/>
          <w:lang w:val="en-US" w:eastAsia="zh-CN"/>
        </w:rPr>
        <w:t>2.</w:t>
      </w:r>
      <w:r>
        <w:rPr>
          <w:rFonts w:hint="default" w:ascii="Times New Roman" w:hAnsi="Times New Roman" w:eastAsia="方正仿宋_GBK" w:cs="Times New Roman"/>
          <w:bCs/>
          <w:kern w:val="0"/>
          <w:highlight w:val="none"/>
          <w:lang w:val="en-US" w:eastAsia="zh-CN"/>
        </w:rPr>
        <w:t>7</w:t>
      </w:r>
      <w:r>
        <w:rPr>
          <w:rFonts w:hint="default" w:ascii="Times New Roman" w:hAnsi="Times New Roman" w:eastAsia="方正仿宋_GBK" w:cs="Times New Roman"/>
          <w:bCs/>
          <w:kern w:val="0"/>
          <w:highlight w:val="none"/>
        </w:rPr>
        <w:t>个百分点。</w:t>
      </w:r>
    </w:p>
    <w:p>
      <w:pPr>
        <w:keepNext w:val="0"/>
        <w:keepLines w:val="0"/>
        <w:pageBreakBefore w:val="0"/>
        <w:widowControl w:val="0"/>
        <w:tabs>
          <w:tab w:val="left" w:pos="0"/>
          <w:tab w:val="left" w:pos="7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bCs/>
          <w:color w:val="000000"/>
          <w:kern w:val="0"/>
          <w:highlight w:val="none"/>
        </w:rPr>
      </w:pPr>
      <w:r>
        <w:rPr>
          <w:rFonts w:hint="default" w:ascii="Times New Roman" w:hAnsi="Times New Roman" w:eastAsia="方正仿宋_GBK" w:cs="Times New Roman"/>
          <w:bCs/>
          <w:color w:val="000000"/>
          <w:kern w:val="0"/>
          <w:highlight w:val="none"/>
          <w:lang w:eastAsia="zh-CN"/>
        </w:rPr>
        <w:t>2020</w:t>
      </w:r>
      <w:r>
        <w:rPr>
          <w:rFonts w:hint="default" w:ascii="Times New Roman" w:hAnsi="Times New Roman" w:eastAsia="方正仿宋_GBK" w:cs="Times New Roman"/>
          <w:bCs/>
          <w:kern w:val="0"/>
          <w:highlight w:val="none"/>
        </w:rPr>
        <w:t>年末，全县实有卫生机构（含私立）119个，职工1774人，其中：卫生技术人员1333人。每万人拥有卫生技术人员</w:t>
      </w:r>
      <w:r>
        <w:rPr>
          <w:rFonts w:hint="default" w:ascii="Times New Roman" w:hAnsi="Times New Roman" w:eastAsia="方正仿宋_GBK" w:cs="Times New Roman"/>
          <w:bCs/>
          <w:kern w:val="0"/>
          <w:highlight w:val="none"/>
          <w:lang w:val="en-US" w:eastAsia="zh-CN"/>
        </w:rPr>
        <w:t>59</w:t>
      </w:r>
      <w:r>
        <w:rPr>
          <w:rFonts w:hint="default" w:ascii="Times New Roman" w:hAnsi="Times New Roman" w:eastAsia="方正仿宋_GBK" w:cs="Times New Roman"/>
          <w:bCs/>
          <w:kern w:val="0"/>
          <w:highlight w:val="none"/>
        </w:rPr>
        <w:t>人。全年门诊诊疗病人138.1万人次，入院人数3.48万人，病床使用率</w:t>
      </w:r>
      <w:r>
        <w:rPr>
          <w:rFonts w:hint="default" w:ascii="Times New Roman" w:hAnsi="Times New Roman" w:eastAsia="方正仿宋_GBK" w:cs="Times New Roman"/>
          <w:bCs/>
          <w:kern w:val="0"/>
          <w:highlight w:val="none"/>
          <w:lang w:val="en-US" w:eastAsia="zh-CN"/>
        </w:rPr>
        <w:t>69.88</w:t>
      </w:r>
      <w:r>
        <w:rPr>
          <w:rFonts w:hint="default" w:ascii="Times New Roman" w:hAnsi="Times New Roman" w:eastAsia="方正仿宋_GBK" w:cs="Times New Roman"/>
          <w:bCs/>
          <w:kern w:val="0"/>
          <w:highlight w:val="none"/>
        </w:rPr>
        <w:t>%；传染病发病率154.12/10万。</w:t>
      </w:r>
    </w:p>
    <w:p>
      <w:pPr>
        <w:tabs>
          <w:tab w:val="left" w:pos="0"/>
          <w:tab w:val="left" w:pos="70"/>
        </w:tabs>
        <w:spacing w:line="579" w:lineRule="exact"/>
        <w:jc w:val="center"/>
        <w:rPr>
          <w:rFonts w:hint="default" w:ascii="Times New Roman" w:hAnsi="Times New Roman" w:eastAsia="黑体" w:cs="Times New Roman"/>
          <w:bCs/>
          <w:kern w:val="0"/>
          <w:sz w:val="28"/>
          <w:szCs w:val="28"/>
          <w:highlight w:val="none"/>
        </w:rPr>
      </w:pPr>
    </w:p>
    <w:p>
      <w:pPr>
        <w:tabs>
          <w:tab w:val="left" w:pos="0"/>
          <w:tab w:val="left" w:pos="70"/>
        </w:tabs>
        <w:spacing w:line="579" w:lineRule="exact"/>
        <w:jc w:val="center"/>
        <w:rPr>
          <w:rFonts w:hint="default" w:ascii="Times New Roman" w:hAnsi="Times New Roman" w:eastAsia="黑体" w:cs="Times New Roman"/>
          <w:bCs/>
          <w:kern w:val="0"/>
          <w:sz w:val="28"/>
          <w:szCs w:val="28"/>
          <w:highlight w:val="none"/>
        </w:rPr>
      </w:pPr>
    </w:p>
    <w:p>
      <w:pPr>
        <w:tabs>
          <w:tab w:val="left" w:pos="0"/>
          <w:tab w:val="left" w:pos="70"/>
        </w:tabs>
        <w:spacing w:line="579" w:lineRule="exact"/>
        <w:jc w:val="center"/>
        <w:rPr>
          <w:rFonts w:hint="default" w:ascii="Times New Roman" w:hAnsi="Times New Roman" w:eastAsia="方正黑体_GBK" w:cs="Times New Roman"/>
          <w:bCs/>
          <w:kern w:val="0"/>
          <w:sz w:val="30"/>
          <w:szCs w:val="30"/>
          <w:highlight w:val="none"/>
        </w:rPr>
      </w:pPr>
      <w:r>
        <w:rPr>
          <w:rFonts w:hint="default" w:ascii="Times New Roman" w:hAnsi="Times New Roman" w:eastAsia="黑体" w:cs="Times New Roman"/>
          <w:bCs/>
          <w:kern w:val="0"/>
          <w:sz w:val="28"/>
          <w:szCs w:val="28"/>
          <w:highlight w:val="none"/>
        </w:rPr>
        <w:t xml:space="preserve">表9  </w:t>
      </w:r>
      <w:r>
        <w:rPr>
          <w:rFonts w:hint="default" w:ascii="Times New Roman" w:hAnsi="Times New Roman" w:eastAsia="黑体" w:cs="Times New Roman"/>
          <w:bCs/>
          <w:kern w:val="0"/>
          <w:sz w:val="28"/>
          <w:szCs w:val="28"/>
          <w:highlight w:val="none"/>
          <w:lang w:eastAsia="zh-CN"/>
        </w:rPr>
        <w:t>2020</w:t>
      </w:r>
      <w:r>
        <w:rPr>
          <w:rFonts w:hint="default" w:ascii="Times New Roman" w:hAnsi="Times New Roman" w:eastAsia="黑体" w:cs="Times New Roman"/>
          <w:bCs/>
          <w:kern w:val="0"/>
          <w:sz w:val="28"/>
          <w:szCs w:val="28"/>
          <w:highlight w:val="none"/>
        </w:rPr>
        <w:t>年医疗卫生基本情况</w:t>
      </w:r>
    </w:p>
    <w:tbl>
      <w:tblPr>
        <w:tblStyle w:val="6"/>
        <w:tblW w:w="7851" w:type="dxa"/>
        <w:jc w:val="center"/>
        <w:tblInd w:w="0" w:type="dxa"/>
        <w:tblLayout w:type="fixed"/>
        <w:tblCellMar>
          <w:top w:w="15" w:type="dxa"/>
          <w:left w:w="15" w:type="dxa"/>
          <w:bottom w:w="15" w:type="dxa"/>
          <w:right w:w="15" w:type="dxa"/>
        </w:tblCellMar>
      </w:tblPr>
      <w:tblGrid>
        <w:gridCol w:w="3516"/>
        <w:gridCol w:w="999"/>
        <w:gridCol w:w="1699"/>
        <w:gridCol w:w="1637"/>
      </w:tblGrid>
      <w:tr>
        <w:tblPrEx>
          <w:tblLayout w:type="fixed"/>
          <w:tblCellMar>
            <w:top w:w="15" w:type="dxa"/>
            <w:left w:w="15" w:type="dxa"/>
            <w:bottom w:w="15" w:type="dxa"/>
            <w:right w:w="15" w:type="dxa"/>
          </w:tblCellMar>
        </w:tblPrEx>
        <w:trPr>
          <w:trHeight w:val="470" w:hRule="atLeast"/>
          <w:jc w:val="center"/>
        </w:trPr>
        <w:tc>
          <w:tcPr>
            <w:tcW w:w="3516" w:type="dxa"/>
            <w:tcBorders>
              <w:top w:val="single" w:color="000000" w:sz="12"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指  标</w:t>
            </w:r>
          </w:p>
        </w:tc>
        <w:tc>
          <w:tcPr>
            <w:tcW w:w="999"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单 位</w:t>
            </w:r>
          </w:p>
        </w:tc>
        <w:tc>
          <w:tcPr>
            <w:tcW w:w="1699"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年末数</w:t>
            </w:r>
          </w:p>
        </w:tc>
        <w:tc>
          <w:tcPr>
            <w:tcW w:w="1637" w:type="dxa"/>
            <w:tcBorders>
              <w:top w:val="single" w:color="000000" w:sz="12" w:space="0"/>
              <w:left w:val="single" w:color="000000" w:sz="4" w:space="0"/>
              <w:bottom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与上年相比（%）</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医疗卫生机构</w:t>
            </w:r>
          </w:p>
        </w:tc>
        <w:tc>
          <w:tcPr>
            <w:tcW w:w="9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个</w:t>
            </w:r>
          </w:p>
        </w:tc>
        <w:tc>
          <w:tcPr>
            <w:tcW w:w="16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43</w:t>
            </w:r>
          </w:p>
        </w:tc>
        <w:tc>
          <w:tcPr>
            <w:tcW w:w="1637"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 xml:space="preserve">2.4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其中：县及县以上医院</w:t>
            </w:r>
          </w:p>
        </w:tc>
        <w:tc>
          <w:tcPr>
            <w:tcW w:w="9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个</w:t>
            </w:r>
          </w:p>
        </w:tc>
        <w:tc>
          <w:tcPr>
            <w:tcW w:w="16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3</w:t>
            </w:r>
          </w:p>
        </w:tc>
        <w:tc>
          <w:tcPr>
            <w:tcW w:w="1637"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 xml:space="preserve">0.0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农村乡镇卫生院</w:t>
            </w:r>
          </w:p>
        </w:tc>
        <w:tc>
          <w:tcPr>
            <w:tcW w:w="9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个</w:t>
            </w:r>
          </w:p>
        </w:tc>
        <w:tc>
          <w:tcPr>
            <w:tcW w:w="16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9</w:t>
            </w:r>
          </w:p>
        </w:tc>
        <w:tc>
          <w:tcPr>
            <w:tcW w:w="1637"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 xml:space="preserve">0.0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其他卫生机构 </w:t>
            </w:r>
          </w:p>
        </w:tc>
        <w:tc>
          <w:tcPr>
            <w:tcW w:w="9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个</w:t>
            </w:r>
          </w:p>
        </w:tc>
        <w:tc>
          <w:tcPr>
            <w:tcW w:w="16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31</w:t>
            </w:r>
          </w:p>
        </w:tc>
        <w:tc>
          <w:tcPr>
            <w:tcW w:w="1637"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 xml:space="preserve">3.3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病床总数（含私立）</w:t>
            </w:r>
          </w:p>
        </w:tc>
        <w:tc>
          <w:tcPr>
            <w:tcW w:w="9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张</w:t>
            </w:r>
          </w:p>
        </w:tc>
        <w:tc>
          <w:tcPr>
            <w:tcW w:w="16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862</w:t>
            </w:r>
          </w:p>
        </w:tc>
        <w:tc>
          <w:tcPr>
            <w:tcW w:w="1637"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 xml:space="preserve">-3.5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卫生人员合计（含私立）</w:t>
            </w:r>
          </w:p>
        </w:tc>
        <w:tc>
          <w:tcPr>
            <w:tcW w:w="9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人</w:t>
            </w:r>
          </w:p>
        </w:tc>
        <w:tc>
          <w:tcPr>
            <w:tcW w:w="16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1774</w:t>
            </w:r>
          </w:p>
        </w:tc>
        <w:tc>
          <w:tcPr>
            <w:tcW w:w="1637"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 xml:space="preserve">5.8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其中：执业医师</w:t>
            </w:r>
          </w:p>
        </w:tc>
        <w:tc>
          <w:tcPr>
            <w:tcW w:w="9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人</w:t>
            </w:r>
          </w:p>
        </w:tc>
        <w:tc>
          <w:tcPr>
            <w:tcW w:w="16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358</w:t>
            </w:r>
          </w:p>
        </w:tc>
        <w:tc>
          <w:tcPr>
            <w:tcW w:w="1637"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 xml:space="preserve">22.6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执业助理医师</w:t>
            </w:r>
          </w:p>
        </w:tc>
        <w:tc>
          <w:tcPr>
            <w:tcW w:w="9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人</w:t>
            </w:r>
          </w:p>
        </w:tc>
        <w:tc>
          <w:tcPr>
            <w:tcW w:w="16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86</w:t>
            </w:r>
          </w:p>
        </w:tc>
        <w:tc>
          <w:tcPr>
            <w:tcW w:w="1637"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 xml:space="preserve">8.9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注册护士</w:t>
            </w:r>
          </w:p>
        </w:tc>
        <w:tc>
          <w:tcPr>
            <w:tcW w:w="9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人</w:t>
            </w:r>
          </w:p>
        </w:tc>
        <w:tc>
          <w:tcPr>
            <w:tcW w:w="16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601</w:t>
            </w:r>
          </w:p>
        </w:tc>
        <w:tc>
          <w:tcPr>
            <w:tcW w:w="1637"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 xml:space="preserve">8.9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村设置的医疗点</w:t>
            </w:r>
          </w:p>
        </w:tc>
        <w:tc>
          <w:tcPr>
            <w:tcW w:w="9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个</w:t>
            </w:r>
          </w:p>
        </w:tc>
        <w:tc>
          <w:tcPr>
            <w:tcW w:w="16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76</w:t>
            </w:r>
          </w:p>
        </w:tc>
        <w:tc>
          <w:tcPr>
            <w:tcW w:w="1637"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 xml:space="preserve">0.0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其中：乡村医生</w:t>
            </w:r>
          </w:p>
        </w:tc>
        <w:tc>
          <w:tcPr>
            <w:tcW w:w="9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人</w:t>
            </w:r>
          </w:p>
        </w:tc>
        <w:tc>
          <w:tcPr>
            <w:tcW w:w="16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212</w:t>
            </w:r>
          </w:p>
        </w:tc>
        <w:tc>
          <w:tcPr>
            <w:tcW w:w="1637"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 xml:space="preserve">5.0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卫生员</w:t>
            </w:r>
          </w:p>
        </w:tc>
        <w:tc>
          <w:tcPr>
            <w:tcW w:w="9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人</w:t>
            </w:r>
          </w:p>
        </w:tc>
        <w:tc>
          <w:tcPr>
            <w:tcW w:w="16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23</w:t>
            </w:r>
          </w:p>
        </w:tc>
        <w:tc>
          <w:tcPr>
            <w:tcW w:w="1637"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 xml:space="preserve">15.0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个体</w:t>
            </w:r>
          </w:p>
        </w:tc>
        <w:tc>
          <w:tcPr>
            <w:tcW w:w="9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户</w:t>
            </w:r>
          </w:p>
        </w:tc>
        <w:tc>
          <w:tcPr>
            <w:tcW w:w="16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24</w:t>
            </w:r>
          </w:p>
        </w:tc>
        <w:tc>
          <w:tcPr>
            <w:tcW w:w="1637"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 xml:space="preserve">4.3 </w:t>
            </w:r>
          </w:p>
        </w:tc>
      </w:tr>
      <w:tr>
        <w:tblPrEx>
          <w:tblLayout w:type="fixed"/>
          <w:tblCellMar>
            <w:top w:w="15" w:type="dxa"/>
            <w:left w:w="15" w:type="dxa"/>
            <w:bottom w:w="15" w:type="dxa"/>
            <w:right w:w="15" w:type="dxa"/>
          </w:tblCellMar>
        </w:tblPrEx>
        <w:trPr>
          <w:trHeight w:val="397" w:hRule="exact"/>
          <w:jc w:val="center"/>
        </w:trPr>
        <w:tc>
          <w:tcPr>
            <w:tcW w:w="3516" w:type="dxa"/>
            <w:tcBorders>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其中：从业人员</w:t>
            </w:r>
          </w:p>
        </w:tc>
        <w:tc>
          <w:tcPr>
            <w:tcW w:w="9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人</w:t>
            </w:r>
          </w:p>
        </w:tc>
        <w:tc>
          <w:tcPr>
            <w:tcW w:w="1699" w:type="dxa"/>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332</w:t>
            </w:r>
          </w:p>
        </w:tc>
        <w:tc>
          <w:tcPr>
            <w:tcW w:w="1637" w:type="dxa"/>
            <w:tcBorders>
              <w:left w:val="single" w:color="000000" w:sz="4"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 xml:space="preserve">13.7 </w:t>
            </w:r>
          </w:p>
        </w:tc>
      </w:tr>
      <w:tr>
        <w:tblPrEx>
          <w:tblLayout w:type="fixed"/>
          <w:tblCellMar>
            <w:top w:w="15" w:type="dxa"/>
            <w:left w:w="15" w:type="dxa"/>
            <w:bottom w:w="15" w:type="dxa"/>
            <w:right w:w="15" w:type="dxa"/>
          </w:tblCellMar>
        </w:tblPrEx>
        <w:trPr>
          <w:trHeight w:val="397" w:hRule="exact"/>
          <w:jc w:val="center"/>
        </w:trPr>
        <w:tc>
          <w:tcPr>
            <w:tcW w:w="3516" w:type="dxa"/>
            <w:tcBorders>
              <w:bottom w:val="single" w:color="000000" w:sz="12" w:space="0"/>
              <w:right w:val="single" w:color="000000" w:sz="4" w:space="0"/>
            </w:tcBorders>
            <w:vAlign w:val="center"/>
          </w:tcPr>
          <w:p>
            <w:pPr>
              <w:widowControl/>
              <w:jc w:val="left"/>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 xml:space="preserve">     其中：卫生技术人员</w:t>
            </w:r>
          </w:p>
        </w:tc>
        <w:tc>
          <w:tcPr>
            <w:tcW w:w="999" w:type="dxa"/>
            <w:tcBorders>
              <w:left w:val="single" w:color="000000" w:sz="4" w:space="0"/>
              <w:bottom w:val="single" w:color="000000" w:sz="12"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kern w:val="0"/>
                <w:sz w:val="22"/>
                <w:szCs w:val="22"/>
                <w:highlight w:val="none"/>
              </w:rPr>
              <w:t>人</w:t>
            </w:r>
          </w:p>
        </w:tc>
        <w:tc>
          <w:tcPr>
            <w:tcW w:w="1699" w:type="dxa"/>
            <w:tcBorders>
              <w:left w:val="single" w:color="000000" w:sz="4" w:space="0"/>
              <w:bottom w:val="single" w:color="000000" w:sz="12" w:space="0"/>
              <w:right w:val="single" w:color="000000" w:sz="4" w:space="0"/>
            </w:tcBorders>
            <w:vAlign w:val="center"/>
          </w:tcPr>
          <w:p>
            <w:pPr>
              <w:widowControl/>
              <w:jc w:val="center"/>
              <w:textAlignment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281</w:t>
            </w:r>
          </w:p>
        </w:tc>
        <w:tc>
          <w:tcPr>
            <w:tcW w:w="1637" w:type="dxa"/>
            <w:tcBorders>
              <w:left w:val="single" w:color="000000" w:sz="4" w:space="0"/>
              <w:bottom w:val="single" w:color="000000" w:sz="12" w:space="0"/>
            </w:tcBorders>
            <w:vAlign w:val="center"/>
          </w:tcPr>
          <w:p>
            <w:pPr>
              <w:widowControl/>
              <w:jc w:val="center"/>
              <w:textAlignment w:val="cente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2"/>
                <w:szCs w:val="22"/>
                <w:highlight w:val="none"/>
                <w:lang w:val="en-US" w:eastAsia="zh-CN"/>
                <w14:textFill>
                  <w14:solidFill>
                    <w14:schemeClr w14:val="tx1"/>
                  </w14:solidFill>
                </w14:textFill>
              </w:rPr>
              <w:t xml:space="preserve">14.2 </w:t>
            </w:r>
          </w:p>
        </w:tc>
      </w:tr>
    </w:tbl>
    <w:p>
      <w:pPr>
        <w:tabs>
          <w:tab w:val="left" w:pos="0"/>
          <w:tab w:val="left" w:pos="70"/>
        </w:tabs>
        <w:spacing w:line="200" w:lineRule="exact"/>
        <w:rPr>
          <w:rFonts w:hint="default" w:ascii="Times New Roman" w:hAnsi="Times New Roman" w:eastAsia="方正仿宋_GBK" w:cs="Times New Roman"/>
          <w:bCs/>
          <w:kern w:val="0"/>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体育：2020年，全县共举办各类运动会</w:t>
      </w:r>
      <w:r>
        <w:rPr>
          <w:rFonts w:hint="default" w:ascii="Times New Roman" w:hAnsi="Times New Roman" w:eastAsia="方正仿宋_GBK" w:cs="Times New Roman"/>
          <w:color w:val="auto"/>
          <w:highlight w:val="none"/>
        </w:rPr>
        <w:t>9次，参赛运动员5424人次，向上级输送各类体育人才34人。全县经常参加体育锻炼人数占总人口数的39%。我县户籍运动员全年共获奖牌93枚，其中：市级比赛金牌43枚、银牌25枚、铜牌25</w:t>
      </w:r>
      <w:r>
        <w:rPr>
          <w:rFonts w:hint="default" w:ascii="Times New Roman" w:hAnsi="Times New Roman" w:eastAsia="方正仿宋_GBK" w:cs="Times New Roman"/>
          <w:highlight w:val="none"/>
        </w:rPr>
        <w:t>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十、城市建设、环境保护和安全生产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color w:val="000000"/>
          <w:kern w:val="0"/>
          <w:highlight w:val="none"/>
          <w:lang w:eastAsia="zh-CN"/>
        </w:rPr>
        <w:t>2020</w:t>
      </w:r>
      <w:r>
        <w:rPr>
          <w:rFonts w:hint="default" w:ascii="Times New Roman" w:hAnsi="Times New Roman" w:eastAsia="方正仿宋_GBK" w:cs="Times New Roman"/>
          <w:highlight w:val="none"/>
        </w:rPr>
        <w:t>年末，县城建成区面积</w:t>
      </w:r>
      <w:r>
        <w:rPr>
          <w:rFonts w:hint="default" w:ascii="Times New Roman" w:hAnsi="Times New Roman" w:eastAsia="方正仿宋_GBK" w:cs="Times New Roman"/>
          <w:highlight w:val="none"/>
          <w:lang w:val="en-US" w:eastAsia="zh-CN"/>
        </w:rPr>
        <w:t>4.06</w:t>
      </w:r>
      <w:r>
        <w:rPr>
          <w:rFonts w:hint="default" w:ascii="Times New Roman" w:hAnsi="Times New Roman" w:eastAsia="方正仿宋_GBK" w:cs="Times New Roman"/>
          <w:highlight w:val="none"/>
        </w:rPr>
        <w:t>平方公里；县城建成区道路长度</w:t>
      </w:r>
      <w:r>
        <w:rPr>
          <w:rFonts w:hint="default" w:ascii="Times New Roman" w:hAnsi="Times New Roman" w:eastAsia="方正仿宋_GBK" w:cs="Times New Roman"/>
          <w:highlight w:val="none"/>
          <w:lang w:val="en-US" w:eastAsia="zh-CN"/>
        </w:rPr>
        <w:t>40.23</w:t>
      </w:r>
      <w:r>
        <w:rPr>
          <w:rFonts w:hint="default" w:ascii="Times New Roman" w:hAnsi="Times New Roman" w:eastAsia="方正仿宋_GBK" w:cs="Times New Roman"/>
          <w:highlight w:val="none"/>
        </w:rPr>
        <w:t>公里，道路面积</w:t>
      </w:r>
      <w:r>
        <w:rPr>
          <w:rFonts w:hint="eastAsia" w:eastAsia="方正仿宋_GBK" w:cs="Times New Roman"/>
          <w:highlight w:val="none"/>
          <w:lang w:val="en-US" w:eastAsia="zh-CN"/>
        </w:rPr>
        <w:t>90</w:t>
      </w:r>
      <w:r>
        <w:rPr>
          <w:rFonts w:hint="default" w:ascii="Times New Roman" w:hAnsi="Times New Roman" w:eastAsia="方正仿宋_GBK" w:cs="Times New Roman"/>
          <w:highlight w:val="none"/>
        </w:rPr>
        <w:t>万平方米；建成区绿化覆盖面积 172.6312公顷，覆盖率42.52%，公园绿地面积39.9公顷。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color w:val="000000"/>
          <w:kern w:val="0"/>
          <w:highlight w:val="none"/>
          <w:lang w:eastAsia="zh-CN"/>
        </w:rPr>
        <w:t>2020</w:t>
      </w:r>
      <w:r>
        <w:rPr>
          <w:rFonts w:hint="default" w:ascii="Times New Roman" w:hAnsi="Times New Roman" w:eastAsia="方正仿宋_GBK" w:cs="Times New Roman"/>
          <w:color w:val="000000"/>
          <w:kern w:val="0"/>
          <w:highlight w:val="none"/>
        </w:rPr>
        <w:t>年，全县不断强化污染减排、环境综合整治和环境执法工作。全年现场监察</w:t>
      </w:r>
      <w:r>
        <w:rPr>
          <w:rFonts w:hint="default" w:ascii="Times New Roman" w:hAnsi="Times New Roman" w:eastAsia="方正仿宋_GBK" w:cs="Times New Roman"/>
          <w:color w:val="000000"/>
          <w:kern w:val="0"/>
          <w:highlight w:val="none"/>
          <w:lang w:val="en-US" w:eastAsia="zh-CN"/>
        </w:rPr>
        <w:t>210</w:t>
      </w:r>
      <w:r>
        <w:rPr>
          <w:rFonts w:hint="default" w:ascii="Times New Roman" w:hAnsi="Times New Roman" w:eastAsia="方正仿宋_GBK" w:cs="Times New Roman"/>
          <w:color w:val="000000"/>
          <w:kern w:val="0"/>
          <w:highlight w:val="none"/>
        </w:rPr>
        <w:t>家次，共出动监察执法人员</w:t>
      </w:r>
      <w:r>
        <w:rPr>
          <w:rFonts w:hint="default" w:ascii="Times New Roman" w:hAnsi="Times New Roman" w:eastAsia="方正仿宋_GBK" w:cs="Times New Roman"/>
          <w:color w:val="000000"/>
          <w:kern w:val="0"/>
          <w:highlight w:val="none"/>
          <w:lang w:val="en-US" w:eastAsia="zh-CN"/>
        </w:rPr>
        <w:t>630</w:t>
      </w:r>
      <w:r>
        <w:rPr>
          <w:rFonts w:hint="default" w:ascii="Times New Roman" w:hAnsi="Times New Roman" w:eastAsia="方正仿宋_GBK" w:cs="Times New Roman"/>
          <w:color w:val="000000"/>
          <w:kern w:val="0"/>
          <w:highlight w:val="none"/>
        </w:rPr>
        <w:t>人次，共查处环境违法行为</w:t>
      </w:r>
      <w:r>
        <w:rPr>
          <w:rFonts w:hint="default" w:ascii="Times New Roman" w:hAnsi="Times New Roman" w:eastAsia="方正仿宋_GBK" w:cs="Times New Roman"/>
          <w:color w:val="000000"/>
          <w:kern w:val="0"/>
          <w:highlight w:val="none"/>
          <w:lang w:val="en-US" w:eastAsia="zh-CN"/>
        </w:rPr>
        <w:t>17</w:t>
      </w:r>
      <w:r>
        <w:rPr>
          <w:rFonts w:hint="default" w:ascii="Times New Roman" w:hAnsi="Times New Roman" w:eastAsia="方正仿宋_GBK" w:cs="Times New Roman"/>
          <w:color w:val="000000"/>
          <w:kern w:val="0"/>
          <w:highlight w:val="none"/>
        </w:rPr>
        <w:t>件，其中：要求整改并处罚款</w:t>
      </w:r>
      <w:r>
        <w:rPr>
          <w:rFonts w:hint="default" w:ascii="Times New Roman" w:hAnsi="Times New Roman" w:eastAsia="方正仿宋_GBK" w:cs="Times New Roman"/>
          <w:color w:val="000000"/>
          <w:kern w:val="0"/>
          <w:highlight w:val="none"/>
          <w:lang w:val="en-US" w:eastAsia="zh-CN"/>
        </w:rPr>
        <w:t>17</w:t>
      </w:r>
      <w:r>
        <w:rPr>
          <w:rFonts w:hint="default" w:ascii="Times New Roman" w:hAnsi="Times New Roman" w:eastAsia="方正仿宋_GBK" w:cs="Times New Roman"/>
          <w:color w:val="000000"/>
          <w:kern w:val="0"/>
          <w:highlight w:val="none"/>
        </w:rPr>
        <w:t>件，罚款</w:t>
      </w:r>
      <w:r>
        <w:rPr>
          <w:rFonts w:hint="default" w:ascii="Times New Roman" w:hAnsi="Times New Roman" w:eastAsia="方正仿宋_GBK" w:cs="Times New Roman"/>
          <w:color w:val="000000"/>
          <w:kern w:val="0"/>
          <w:highlight w:val="none"/>
          <w:lang w:val="en-US" w:eastAsia="zh-CN"/>
        </w:rPr>
        <w:t>134.06</w:t>
      </w:r>
      <w:r>
        <w:rPr>
          <w:rFonts w:hint="default" w:ascii="Times New Roman" w:hAnsi="Times New Roman" w:eastAsia="方正仿宋_GBK" w:cs="Times New Roman"/>
          <w:color w:val="000000"/>
          <w:kern w:val="0"/>
          <w:highlight w:val="none"/>
        </w:rPr>
        <w:t>万元，结案</w:t>
      </w:r>
      <w:r>
        <w:rPr>
          <w:rFonts w:hint="default" w:ascii="Times New Roman" w:hAnsi="Times New Roman" w:eastAsia="方正仿宋_GBK" w:cs="Times New Roman"/>
          <w:color w:val="000000"/>
          <w:kern w:val="0"/>
          <w:highlight w:val="none"/>
          <w:lang w:val="en-US" w:eastAsia="zh-CN"/>
        </w:rPr>
        <w:t>6</w:t>
      </w:r>
      <w:r>
        <w:rPr>
          <w:rFonts w:hint="default" w:ascii="Times New Roman" w:hAnsi="Times New Roman" w:eastAsia="方正仿宋_GBK" w:cs="Times New Roman"/>
          <w:color w:val="000000"/>
          <w:kern w:val="0"/>
          <w:highlight w:val="none"/>
        </w:rPr>
        <w:t>件，下达环境违法行为限期改正决定书19家，责令改正违法行为决定书14家。共受理各类信访案件30件，处理率100%，办结率100%。</w:t>
      </w:r>
      <w:r>
        <w:rPr>
          <w:rFonts w:hint="default" w:ascii="Times New Roman" w:hAnsi="Times New Roman" w:eastAsia="方正仿宋_GBK" w:cs="Times New Roman"/>
          <w:highlight w:val="none"/>
        </w:rPr>
        <w:t>全县共发生各类生产安全伤亡事故18起、死亡12人，其中：建筑施工行业事故5起，死亡5人；农、林、牧、渔行业领域事故1起，死亡1人；河砂洗选行业领域事故1起，死亡2人；道路运输行业事故11起，死亡4人。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十一、扶贫开发和社会保障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2020年投入中央省市县财政专项扶贫资金3802.33 万元，其中：中央财政专项扶贫资金 2862万元，省级资金 93万元，市级资金 165.81万元，县级配套资金681.52 万元。从实施项目看：实施产业项目 12个。</w:t>
      </w:r>
      <w:r>
        <w:rPr>
          <w:rFonts w:hint="default" w:ascii="Times New Roman" w:hAnsi="Times New Roman" w:eastAsia="方正仿宋_GBK" w:cs="Times New Roman"/>
          <w:highlight w:val="none"/>
        </w:rPr>
        <w:t>市级贫困地区农村人居环境整治示范村、饮水安全巩固提升项目48个，其中：实施贫困地区农村人居环境整治示范村项目31个，饮水安全巩固提升项目17个；发放扶贫小额信贷6262.59万元，受益建档立卡人口1351户。选派驻村工作队37支111名。截止2020年末，全县实有建档立卡6069户 24262人，贫困发生率下降至0%，现行标准下的农村贫困人口全部脱贫。我县的脱贫攻坚工作已转入巩固拓展脱贫攻坚成果与乡村振兴有机衔接结合的发展阶段。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2020</w:t>
      </w:r>
      <w:r>
        <w:rPr>
          <w:rFonts w:hint="default" w:ascii="Times New Roman" w:hAnsi="Times New Roman" w:eastAsia="方正仿宋_GBK" w:cs="Times New Roman"/>
          <w:highlight w:val="none"/>
        </w:rPr>
        <w:t>年投入</w:t>
      </w:r>
      <w:r>
        <w:rPr>
          <w:rFonts w:hint="default" w:ascii="Times New Roman" w:hAnsi="Times New Roman" w:eastAsia="方正仿宋_GBK" w:cs="Times New Roman"/>
          <w:highlight w:val="none"/>
          <w:lang w:val="en-US" w:eastAsia="zh-CN"/>
        </w:rPr>
        <w:t>6.6</w:t>
      </w:r>
      <w:r>
        <w:rPr>
          <w:rFonts w:hint="default" w:ascii="Times New Roman" w:hAnsi="Times New Roman" w:eastAsia="方正仿宋_GBK" w:cs="Times New Roman"/>
          <w:highlight w:val="none"/>
        </w:rPr>
        <w:t>万元，为</w:t>
      </w:r>
      <w:r>
        <w:rPr>
          <w:rFonts w:hint="default" w:ascii="Times New Roman" w:hAnsi="Times New Roman" w:eastAsia="方正仿宋_GBK" w:cs="Times New Roman"/>
          <w:highlight w:val="none"/>
          <w:lang w:val="en-US" w:eastAsia="zh-CN"/>
        </w:rPr>
        <w:t>11</w:t>
      </w:r>
      <w:r>
        <w:rPr>
          <w:rFonts w:hint="default" w:ascii="Times New Roman" w:hAnsi="Times New Roman" w:eastAsia="方正仿宋_GBK" w:cs="Times New Roman"/>
          <w:highlight w:val="none"/>
        </w:rPr>
        <w:t>户贫困残疾人家庭进行无障碍设施建设；投入资金</w:t>
      </w:r>
      <w:r>
        <w:rPr>
          <w:rFonts w:hint="default" w:ascii="Times New Roman" w:hAnsi="Times New Roman" w:eastAsia="方正仿宋_GBK" w:cs="Times New Roman"/>
          <w:highlight w:val="none"/>
          <w:lang w:val="en-US" w:eastAsia="zh-CN"/>
        </w:rPr>
        <w:t>3</w:t>
      </w:r>
      <w:r>
        <w:rPr>
          <w:rFonts w:hint="default" w:ascii="Times New Roman" w:hAnsi="Times New Roman" w:eastAsia="方正仿宋_GBK" w:cs="Times New Roman"/>
          <w:highlight w:val="none"/>
        </w:rPr>
        <w:t>万元，为</w:t>
      </w:r>
      <w:r>
        <w:rPr>
          <w:rFonts w:hint="default" w:ascii="Times New Roman" w:hAnsi="Times New Roman" w:eastAsia="方正仿宋_GBK" w:cs="Times New Roman"/>
          <w:highlight w:val="none"/>
          <w:lang w:val="en-US" w:eastAsia="zh-CN"/>
        </w:rPr>
        <w:t>8</w:t>
      </w:r>
      <w:r>
        <w:rPr>
          <w:rFonts w:hint="default" w:ascii="Times New Roman" w:hAnsi="Times New Roman" w:eastAsia="方正仿宋_GBK" w:cs="Times New Roman"/>
          <w:highlight w:val="none"/>
        </w:rPr>
        <w:t>名残疾人装配</w:t>
      </w:r>
      <w:r>
        <w:rPr>
          <w:rFonts w:hint="default" w:ascii="Times New Roman" w:hAnsi="Times New Roman" w:eastAsia="方正仿宋_GBK" w:cs="Times New Roman"/>
          <w:highlight w:val="none"/>
          <w:lang w:val="en-US" w:eastAsia="zh-CN"/>
        </w:rPr>
        <w:t>8</w:t>
      </w:r>
      <w:r>
        <w:rPr>
          <w:rFonts w:hint="default" w:ascii="Times New Roman" w:hAnsi="Times New Roman" w:eastAsia="方正仿宋_GBK" w:cs="Times New Roman"/>
          <w:highlight w:val="none"/>
        </w:rPr>
        <w:t>例假肢；投入</w:t>
      </w:r>
      <w:r>
        <w:rPr>
          <w:rFonts w:hint="default" w:ascii="Times New Roman" w:hAnsi="Times New Roman" w:eastAsia="方正仿宋_GBK" w:cs="Times New Roman"/>
          <w:highlight w:val="none"/>
          <w:lang w:val="en-US" w:eastAsia="zh-CN"/>
        </w:rPr>
        <w:t>31.7</w:t>
      </w:r>
      <w:r>
        <w:rPr>
          <w:rFonts w:hint="default" w:ascii="Times New Roman" w:hAnsi="Times New Roman" w:eastAsia="方正仿宋_GBK" w:cs="Times New Roman"/>
          <w:highlight w:val="none"/>
        </w:rPr>
        <w:t>万元，对</w:t>
      </w:r>
      <w:r>
        <w:rPr>
          <w:rFonts w:hint="default" w:ascii="Times New Roman" w:hAnsi="Times New Roman" w:eastAsia="方正仿宋_GBK" w:cs="Times New Roman"/>
          <w:highlight w:val="none"/>
          <w:lang w:val="en-US" w:eastAsia="zh-CN"/>
        </w:rPr>
        <w:t>30</w:t>
      </w:r>
      <w:r>
        <w:rPr>
          <w:rFonts w:hint="default" w:ascii="Times New Roman" w:hAnsi="Times New Roman" w:eastAsia="方正仿宋_GBK" w:cs="Times New Roman"/>
          <w:highlight w:val="none"/>
        </w:rPr>
        <w:t>名残疾儿童进行早期康复训练；投入资金</w:t>
      </w:r>
      <w:r>
        <w:rPr>
          <w:rFonts w:hint="default" w:ascii="Times New Roman" w:hAnsi="Times New Roman" w:eastAsia="方正仿宋_GBK" w:cs="Times New Roman"/>
          <w:highlight w:val="none"/>
          <w:lang w:val="en-US" w:eastAsia="zh-CN"/>
        </w:rPr>
        <w:t>168</w:t>
      </w:r>
      <w:r>
        <w:rPr>
          <w:rFonts w:hint="default" w:ascii="Times New Roman" w:hAnsi="Times New Roman" w:eastAsia="方正仿宋_GBK" w:cs="Times New Roman"/>
          <w:highlight w:val="none"/>
        </w:rPr>
        <w:t>万元，为</w:t>
      </w:r>
      <w:r>
        <w:rPr>
          <w:rFonts w:hint="default" w:ascii="Times New Roman" w:hAnsi="Times New Roman" w:eastAsia="方正仿宋_GBK" w:cs="Times New Roman"/>
          <w:highlight w:val="none"/>
          <w:lang w:val="en-US" w:eastAsia="zh-CN"/>
        </w:rPr>
        <w:t>200</w:t>
      </w:r>
      <w:r>
        <w:rPr>
          <w:rFonts w:hint="default" w:ascii="Times New Roman" w:hAnsi="Times New Roman" w:eastAsia="方正仿宋_GBK" w:cs="Times New Roman"/>
          <w:highlight w:val="none"/>
        </w:rPr>
        <w:t>名听力障碍残疾人免费验配助听器；投入</w:t>
      </w:r>
      <w:r>
        <w:rPr>
          <w:rFonts w:hint="default" w:ascii="Times New Roman" w:hAnsi="Times New Roman" w:eastAsia="方正仿宋_GBK" w:cs="Times New Roman"/>
          <w:highlight w:val="none"/>
          <w:lang w:val="en-US" w:eastAsia="zh-CN"/>
        </w:rPr>
        <w:t>0.39</w:t>
      </w:r>
      <w:r>
        <w:rPr>
          <w:rFonts w:hint="default" w:ascii="Times New Roman" w:hAnsi="Times New Roman" w:eastAsia="方正仿宋_GBK" w:cs="Times New Roman"/>
          <w:highlight w:val="none"/>
        </w:rPr>
        <w:t>万元，为</w:t>
      </w:r>
      <w:r>
        <w:rPr>
          <w:rFonts w:hint="default" w:ascii="Times New Roman" w:hAnsi="Times New Roman" w:eastAsia="方正仿宋_GBK" w:cs="Times New Roman"/>
          <w:highlight w:val="none"/>
          <w:lang w:val="en-US" w:eastAsia="zh-CN"/>
        </w:rPr>
        <w:t>13</w:t>
      </w:r>
      <w:r>
        <w:rPr>
          <w:rFonts w:hint="default" w:ascii="Times New Roman" w:hAnsi="Times New Roman" w:eastAsia="方正仿宋_GBK" w:cs="Times New Roman"/>
          <w:highlight w:val="none"/>
        </w:rPr>
        <w:t>名贫困视力残疾人免费验配助视器具。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color w:val="auto"/>
          <w:highlight w:val="none"/>
          <w:lang w:eastAsia="zh-CN"/>
        </w:rPr>
        <w:t>2020</w:t>
      </w:r>
      <w:r>
        <w:rPr>
          <w:rFonts w:hint="default" w:ascii="Times New Roman" w:hAnsi="Times New Roman" w:eastAsia="方正仿宋_GBK" w:cs="Times New Roman"/>
          <w:color w:val="auto"/>
          <w:highlight w:val="none"/>
        </w:rPr>
        <w:t>年末，全县共有重点优抚对象1</w:t>
      </w:r>
      <w:r>
        <w:rPr>
          <w:rFonts w:hint="default" w:ascii="Times New Roman" w:hAnsi="Times New Roman" w:eastAsia="方正仿宋_GBK" w:cs="Times New Roman"/>
          <w:color w:val="auto"/>
          <w:highlight w:val="none"/>
          <w:lang w:val="en-US" w:eastAsia="zh-CN"/>
        </w:rPr>
        <w:t>248</w:t>
      </w:r>
      <w:r>
        <w:rPr>
          <w:rFonts w:hint="default" w:ascii="Times New Roman" w:hAnsi="Times New Roman" w:eastAsia="方正仿宋_GBK" w:cs="Times New Roman"/>
          <w:color w:val="auto"/>
          <w:highlight w:val="none"/>
        </w:rPr>
        <w:t>人</w:t>
      </w:r>
      <w:r>
        <w:rPr>
          <w:rFonts w:hint="default" w:ascii="Times New Roman" w:hAnsi="Times New Roman" w:eastAsia="方正仿宋_GBK" w:cs="Times New Roman"/>
          <w:color w:val="auto"/>
          <w:highlight w:val="none"/>
          <w:lang w:eastAsia="zh-CN"/>
        </w:rPr>
        <w:t>（含出国参战民兵民工</w:t>
      </w:r>
      <w:r>
        <w:rPr>
          <w:rFonts w:hint="default" w:ascii="Times New Roman" w:hAnsi="Times New Roman" w:eastAsia="方正仿宋_GBK" w:cs="Times New Roman"/>
          <w:color w:val="auto"/>
          <w:highlight w:val="none"/>
          <w:lang w:val="en-US" w:eastAsia="zh-CN"/>
        </w:rPr>
        <w:t>142人</w:t>
      </w:r>
      <w:r>
        <w:rPr>
          <w:rFonts w:hint="default" w:ascii="Times New Roman" w:hAnsi="Times New Roman" w:eastAsia="方正仿宋_GBK" w:cs="Times New Roman"/>
          <w:color w:val="auto"/>
          <w:highlight w:val="none"/>
          <w:lang w:eastAsia="zh-CN"/>
        </w:rPr>
        <w:t>）</w:t>
      </w:r>
      <w:r>
        <w:rPr>
          <w:rFonts w:hint="default" w:ascii="Times New Roman" w:hAnsi="Times New Roman" w:eastAsia="方正仿宋_GBK" w:cs="Times New Roman"/>
          <w:color w:val="auto"/>
          <w:highlight w:val="none"/>
        </w:rPr>
        <w:t>，</w:t>
      </w:r>
      <w:r>
        <w:rPr>
          <w:rFonts w:hint="default" w:ascii="Times New Roman" w:hAnsi="Times New Roman" w:eastAsia="方正仿宋_GBK" w:cs="Times New Roman"/>
          <w:color w:val="auto"/>
          <w:highlight w:val="none"/>
          <w:lang w:eastAsia="zh-CN"/>
        </w:rPr>
        <w:t>全年</w:t>
      </w:r>
      <w:r>
        <w:rPr>
          <w:rFonts w:hint="default" w:ascii="Times New Roman" w:hAnsi="Times New Roman" w:eastAsia="方正仿宋_GBK" w:cs="Times New Roman"/>
          <w:color w:val="auto"/>
          <w:highlight w:val="none"/>
        </w:rPr>
        <w:t>发放抚恤定</w:t>
      </w:r>
      <w:r>
        <w:rPr>
          <w:rFonts w:hint="default" w:ascii="Times New Roman" w:hAnsi="Times New Roman" w:eastAsia="方正仿宋_GBK" w:cs="Times New Roman"/>
          <w:color w:val="auto"/>
          <w:highlight w:val="none"/>
          <w:lang w:eastAsia="zh-CN"/>
        </w:rPr>
        <w:t>期生活</w:t>
      </w:r>
      <w:r>
        <w:rPr>
          <w:rFonts w:hint="default" w:ascii="Times New Roman" w:hAnsi="Times New Roman" w:eastAsia="方正仿宋_GBK" w:cs="Times New Roman"/>
          <w:color w:val="auto"/>
          <w:highlight w:val="none"/>
        </w:rPr>
        <w:t>补</w:t>
      </w:r>
      <w:r>
        <w:rPr>
          <w:rFonts w:hint="default" w:ascii="Times New Roman" w:hAnsi="Times New Roman" w:eastAsia="方正仿宋_GBK" w:cs="Times New Roman"/>
          <w:color w:val="auto"/>
          <w:highlight w:val="none"/>
          <w:lang w:eastAsia="zh-CN"/>
        </w:rPr>
        <w:t>助</w:t>
      </w:r>
      <w:r>
        <w:rPr>
          <w:rFonts w:hint="default" w:ascii="Times New Roman" w:hAnsi="Times New Roman" w:eastAsia="方正仿宋_GBK" w:cs="Times New Roman"/>
          <w:color w:val="auto"/>
          <w:highlight w:val="none"/>
        </w:rPr>
        <w:t>金828.19万元</w:t>
      </w:r>
      <w:r>
        <w:rPr>
          <w:rFonts w:hint="default" w:ascii="Times New Roman" w:hAnsi="Times New Roman" w:eastAsia="方正仿宋_GBK" w:cs="Times New Roman"/>
          <w:color w:val="auto"/>
          <w:highlight w:val="none"/>
          <w:lang w:eastAsia="zh-CN"/>
        </w:rPr>
        <w:t>（含出国参战民兵民工定期生活补助</w:t>
      </w:r>
      <w:r>
        <w:rPr>
          <w:rFonts w:hint="default" w:ascii="Times New Roman" w:hAnsi="Times New Roman" w:eastAsia="方正仿宋_GBK" w:cs="Times New Roman"/>
          <w:color w:val="auto"/>
          <w:highlight w:val="none"/>
          <w:lang w:val="en-US" w:eastAsia="zh-CN"/>
        </w:rPr>
        <w:t>29.09万元）</w:t>
      </w:r>
      <w:r>
        <w:rPr>
          <w:rFonts w:hint="default" w:ascii="Times New Roman" w:hAnsi="Times New Roman" w:eastAsia="方正仿宋_GBK" w:cs="Times New Roman"/>
          <w:color w:val="auto"/>
          <w:highlight w:val="none"/>
        </w:rPr>
        <w:t>；义务兵</w:t>
      </w:r>
      <w:r>
        <w:rPr>
          <w:rFonts w:hint="default" w:ascii="Times New Roman" w:hAnsi="Times New Roman" w:eastAsia="方正仿宋_GBK" w:cs="Times New Roman"/>
          <w:color w:val="auto"/>
          <w:highlight w:val="none"/>
          <w:lang w:eastAsia="zh-CN"/>
        </w:rPr>
        <w:t>家庭共</w:t>
      </w:r>
      <w:r>
        <w:rPr>
          <w:rFonts w:hint="default" w:ascii="Times New Roman" w:hAnsi="Times New Roman" w:eastAsia="方正仿宋_GBK" w:cs="Times New Roman"/>
          <w:color w:val="auto"/>
          <w:highlight w:val="none"/>
          <w:lang w:val="en-US" w:eastAsia="zh-CN"/>
        </w:rPr>
        <w:t>110</w:t>
      </w:r>
      <w:r>
        <w:rPr>
          <w:rFonts w:hint="default" w:ascii="Times New Roman" w:hAnsi="Times New Roman" w:eastAsia="方正仿宋_GBK" w:cs="Times New Roman"/>
          <w:color w:val="auto"/>
          <w:highlight w:val="none"/>
        </w:rPr>
        <w:t>户，</w:t>
      </w:r>
      <w:r>
        <w:rPr>
          <w:rFonts w:hint="default" w:ascii="Times New Roman" w:hAnsi="Times New Roman" w:eastAsia="方正仿宋_GBK" w:cs="Times New Roman"/>
          <w:color w:val="auto"/>
          <w:highlight w:val="none"/>
          <w:lang w:eastAsia="zh-CN"/>
        </w:rPr>
        <w:t>全年</w:t>
      </w:r>
      <w:r>
        <w:rPr>
          <w:rFonts w:hint="default" w:ascii="Times New Roman" w:hAnsi="Times New Roman" w:eastAsia="方正仿宋_GBK" w:cs="Times New Roman"/>
          <w:color w:val="auto"/>
          <w:highlight w:val="none"/>
        </w:rPr>
        <w:t>发放义务兵</w:t>
      </w:r>
      <w:r>
        <w:rPr>
          <w:rFonts w:hint="default" w:ascii="Times New Roman" w:hAnsi="Times New Roman" w:eastAsia="方正仿宋_GBK" w:cs="Times New Roman"/>
          <w:color w:val="auto"/>
          <w:highlight w:val="none"/>
          <w:lang w:eastAsia="zh-CN"/>
        </w:rPr>
        <w:t>家庭</w:t>
      </w:r>
      <w:r>
        <w:rPr>
          <w:rFonts w:hint="default" w:ascii="Times New Roman" w:hAnsi="Times New Roman" w:eastAsia="方正仿宋_GBK" w:cs="Times New Roman"/>
          <w:color w:val="auto"/>
          <w:highlight w:val="none"/>
        </w:rPr>
        <w:t>优待金119.68</w:t>
      </w:r>
      <w:r>
        <w:rPr>
          <w:rFonts w:hint="default" w:ascii="Times New Roman" w:hAnsi="Times New Roman" w:eastAsia="方正仿宋_GBK" w:cs="Times New Roman"/>
          <w:color w:val="auto"/>
          <w:highlight w:val="none"/>
          <w:lang w:val="en-US" w:eastAsia="zh-CN"/>
        </w:rPr>
        <w:t xml:space="preserve"> </w:t>
      </w:r>
      <w:r>
        <w:rPr>
          <w:rFonts w:hint="default" w:ascii="Times New Roman" w:hAnsi="Times New Roman" w:eastAsia="方正仿宋_GBK" w:cs="Times New Roman"/>
          <w:color w:val="auto"/>
          <w:highlight w:val="none"/>
        </w:rPr>
        <w:t>万元</w:t>
      </w:r>
      <w:r>
        <w:rPr>
          <w:rFonts w:hint="default" w:ascii="Times New Roman" w:hAnsi="Times New Roman" w:eastAsia="方正仿宋_GBK" w:cs="Times New Roman"/>
          <w:color w:val="auto"/>
          <w:highlight w:val="none"/>
          <w:lang w:eastAsia="zh-CN"/>
        </w:rPr>
        <w:t>。</w:t>
      </w:r>
      <w:r>
        <w:rPr>
          <w:rFonts w:hint="default" w:ascii="Times New Roman" w:hAnsi="Times New Roman" w:eastAsia="方正仿宋_GBK" w:cs="Times New Roman"/>
          <w:highlight w:val="none"/>
        </w:rPr>
        <w:t>享受城市最低生活保障</w:t>
      </w:r>
      <w:r>
        <w:rPr>
          <w:rFonts w:hint="default" w:ascii="Times New Roman" w:hAnsi="Times New Roman" w:eastAsia="方正仿宋_GBK" w:cs="Times New Roman"/>
          <w:highlight w:val="none"/>
          <w:lang w:val="en-US" w:eastAsia="zh-CN"/>
        </w:rPr>
        <w:t>550</w:t>
      </w:r>
      <w:r>
        <w:rPr>
          <w:rFonts w:hint="default" w:ascii="Times New Roman" w:hAnsi="Times New Roman" w:eastAsia="方正仿宋_GBK" w:cs="Times New Roman"/>
          <w:highlight w:val="none"/>
        </w:rPr>
        <w:t>户</w:t>
      </w:r>
      <w:r>
        <w:rPr>
          <w:rFonts w:hint="default" w:ascii="Times New Roman" w:hAnsi="Times New Roman" w:eastAsia="方正仿宋_GBK" w:cs="Times New Roman"/>
          <w:highlight w:val="none"/>
          <w:lang w:val="en-US" w:eastAsia="zh-CN"/>
        </w:rPr>
        <w:t>663</w:t>
      </w:r>
      <w:r>
        <w:rPr>
          <w:rFonts w:hint="default" w:ascii="Times New Roman" w:hAnsi="Times New Roman" w:eastAsia="方正仿宋_GBK" w:cs="Times New Roman"/>
          <w:highlight w:val="none"/>
        </w:rPr>
        <w:t>人，发放城市最低生活保障金401.5万元；享受农村最低生活保障</w:t>
      </w:r>
      <w:r>
        <w:rPr>
          <w:rFonts w:hint="default" w:ascii="Times New Roman" w:hAnsi="Times New Roman" w:eastAsia="方正仿宋_GBK" w:cs="Times New Roman"/>
          <w:highlight w:val="none"/>
          <w:lang w:val="en-US" w:eastAsia="zh-CN"/>
        </w:rPr>
        <w:t>3393</w:t>
      </w:r>
      <w:r>
        <w:rPr>
          <w:rFonts w:hint="default" w:ascii="Times New Roman" w:hAnsi="Times New Roman" w:eastAsia="方正仿宋_GBK" w:cs="Times New Roman"/>
          <w:highlight w:val="none"/>
        </w:rPr>
        <w:t>户</w:t>
      </w:r>
      <w:r>
        <w:rPr>
          <w:rFonts w:hint="default" w:ascii="Times New Roman" w:hAnsi="Times New Roman" w:eastAsia="方正仿宋_GBK" w:cs="Times New Roman"/>
          <w:highlight w:val="none"/>
          <w:lang w:val="en-US" w:eastAsia="zh-CN"/>
        </w:rPr>
        <w:t>6348</w:t>
      </w:r>
      <w:r>
        <w:rPr>
          <w:rFonts w:hint="default" w:ascii="Times New Roman" w:hAnsi="Times New Roman" w:eastAsia="方正仿宋_GBK" w:cs="Times New Roman"/>
          <w:highlight w:val="none"/>
        </w:rPr>
        <w:t>人，发放农村最低生活保障金</w:t>
      </w:r>
      <w:r>
        <w:rPr>
          <w:rFonts w:hint="default" w:ascii="Times New Roman" w:hAnsi="Times New Roman" w:eastAsia="方正仿宋_GBK" w:cs="Times New Roman"/>
          <w:highlight w:val="none"/>
          <w:lang w:val="en-US" w:eastAsia="zh-CN"/>
        </w:rPr>
        <w:t>2236.99</w:t>
      </w:r>
      <w:r>
        <w:rPr>
          <w:rFonts w:hint="default" w:ascii="Times New Roman" w:hAnsi="Times New Roman" w:eastAsia="方正仿宋_GBK" w:cs="Times New Roman"/>
          <w:highlight w:val="none"/>
        </w:rPr>
        <w:t>万元；全县共有“特困供养”对象</w:t>
      </w:r>
      <w:r>
        <w:rPr>
          <w:rFonts w:hint="default" w:ascii="Times New Roman" w:hAnsi="Times New Roman" w:eastAsia="方正仿宋_GBK" w:cs="Times New Roman"/>
          <w:highlight w:val="none"/>
          <w:lang w:val="en-US" w:eastAsia="zh-CN"/>
        </w:rPr>
        <w:t>364</w:t>
      </w:r>
      <w:r>
        <w:rPr>
          <w:rFonts w:hint="default" w:ascii="Times New Roman" w:hAnsi="Times New Roman" w:eastAsia="方正仿宋_GBK" w:cs="Times New Roman"/>
          <w:highlight w:val="none"/>
        </w:rPr>
        <w:t>人，其中：集中供养的</w:t>
      </w:r>
      <w:r>
        <w:rPr>
          <w:rFonts w:hint="default" w:ascii="Times New Roman" w:hAnsi="Times New Roman" w:eastAsia="方正仿宋_GBK" w:cs="Times New Roman"/>
          <w:highlight w:val="none"/>
          <w:lang w:val="en-US" w:eastAsia="zh-CN"/>
        </w:rPr>
        <w:t>74</w:t>
      </w:r>
      <w:r>
        <w:rPr>
          <w:rFonts w:hint="default" w:ascii="Times New Roman" w:hAnsi="Times New Roman" w:eastAsia="方正仿宋_GBK" w:cs="Times New Roman"/>
          <w:highlight w:val="none"/>
        </w:rPr>
        <w:t>人。共有运营公办敬老院</w:t>
      </w:r>
      <w:r>
        <w:rPr>
          <w:rFonts w:hint="default" w:ascii="Times New Roman" w:hAnsi="Times New Roman" w:eastAsia="方正仿宋_GBK" w:cs="Times New Roman"/>
          <w:highlight w:val="none"/>
          <w:lang w:val="en-US" w:eastAsia="zh-CN"/>
        </w:rPr>
        <w:t>9</w:t>
      </w:r>
      <w:r>
        <w:rPr>
          <w:rFonts w:hint="default" w:ascii="Times New Roman" w:hAnsi="Times New Roman" w:eastAsia="方正仿宋_GBK" w:cs="Times New Roman"/>
          <w:highlight w:val="none"/>
        </w:rPr>
        <w:t>家，核定床位</w:t>
      </w:r>
      <w:r>
        <w:rPr>
          <w:rFonts w:hint="default" w:ascii="Times New Roman" w:hAnsi="Times New Roman" w:eastAsia="方正仿宋_GBK" w:cs="Times New Roman"/>
          <w:highlight w:val="none"/>
          <w:lang w:val="en-US" w:eastAsia="zh-CN"/>
        </w:rPr>
        <w:t>244</w:t>
      </w:r>
      <w:r>
        <w:rPr>
          <w:rFonts w:hint="default" w:ascii="Times New Roman" w:hAnsi="Times New Roman" w:eastAsia="方正仿宋_GBK" w:cs="Times New Roman"/>
          <w:highlight w:val="none"/>
        </w:rPr>
        <w:t>张，实有床位</w:t>
      </w:r>
      <w:r>
        <w:rPr>
          <w:rFonts w:hint="default" w:ascii="Times New Roman" w:hAnsi="Times New Roman" w:eastAsia="方正仿宋_GBK" w:cs="Times New Roman"/>
          <w:highlight w:val="none"/>
          <w:lang w:val="en-US" w:eastAsia="zh-CN"/>
        </w:rPr>
        <w:t>348</w:t>
      </w:r>
      <w:r>
        <w:rPr>
          <w:rFonts w:hint="default" w:ascii="Times New Roman" w:hAnsi="Times New Roman" w:eastAsia="方正仿宋_GBK" w:cs="Times New Roman"/>
          <w:highlight w:val="none"/>
        </w:rPr>
        <w:t>张，工作人员</w:t>
      </w:r>
      <w:r>
        <w:rPr>
          <w:rFonts w:hint="default" w:ascii="Times New Roman" w:hAnsi="Times New Roman" w:eastAsia="方正仿宋_GBK" w:cs="Times New Roman"/>
          <w:highlight w:val="none"/>
          <w:lang w:val="en-US" w:eastAsia="zh-CN"/>
        </w:rPr>
        <w:t>21</w:t>
      </w:r>
      <w:r>
        <w:rPr>
          <w:rFonts w:hint="default" w:ascii="Times New Roman" w:hAnsi="Times New Roman" w:eastAsia="方正仿宋_GBK" w:cs="Times New Roman"/>
          <w:highlight w:val="none"/>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lang w:eastAsia="zh-CN"/>
        </w:rPr>
        <w:t>2020</w:t>
      </w:r>
      <w:r>
        <w:rPr>
          <w:rFonts w:hint="default" w:ascii="Times New Roman" w:hAnsi="Times New Roman" w:eastAsia="方正仿宋_GBK" w:cs="Times New Roman"/>
          <w:highlight w:val="none"/>
        </w:rPr>
        <w:t>年，全县职工基本养老保险参保人员</w:t>
      </w:r>
      <w:r>
        <w:rPr>
          <w:rFonts w:hint="default" w:ascii="Times New Roman" w:hAnsi="Times New Roman" w:eastAsia="方正仿宋_GBK" w:cs="Times New Roman"/>
          <w:highlight w:val="none"/>
          <w:lang w:val="en-US" w:eastAsia="zh-CN"/>
        </w:rPr>
        <w:t>18038</w:t>
      </w:r>
      <w:r>
        <w:rPr>
          <w:rFonts w:hint="default" w:ascii="Times New Roman" w:hAnsi="Times New Roman" w:eastAsia="方正仿宋_GBK" w:cs="Times New Roman"/>
          <w:highlight w:val="none"/>
        </w:rPr>
        <w:t>人，其中：企业参保</w:t>
      </w:r>
      <w:r>
        <w:rPr>
          <w:rFonts w:hint="default" w:ascii="Times New Roman" w:hAnsi="Times New Roman" w:eastAsia="方正仿宋_GBK" w:cs="Times New Roman"/>
          <w:highlight w:val="none"/>
          <w:lang w:val="en-US" w:eastAsia="zh-CN"/>
        </w:rPr>
        <w:t>12437</w:t>
      </w:r>
      <w:r>
        <w:rPr>
          <w:rFonts w:hint="default" w:ascii="Times New Roman" w:hAnsi="Times New Roman" w:eastAsia="方正仿宋_GBK" w:cs="Times New Roman"/>
          <w:highlight w:val="none"/>
        </w:rPr>
        <w:t>人，机关事业单位参保5691人。</w:t>
      </w:r>
      <w:r>
        <w:rPr>
          <w:rFonts w:hint="default" w:ascii="Times New Roman" w:hAnsi="Times New Roman" w:eastAsia="方正仿宋_GBK" w:cs="Times New Roman"/>
          <w:kern w:val="0"/>
          <w:highlight w:val="none"/>
        </w:rPr>
        <w:t>实际征收基本养老保险基金</w:t>
      </w:r>
      <w:r>
        <w:rPr>
          <w:rFonts w:hint="default" w:ascii="Times New Roman" w:hAnsi="Times New Roman" w:eastAsia="方正仿宋_GBK" w:cs="Times New Roman"/>
          <w:kern w:val="0"/>
          <w:highlight w:val="none"/>
          <w:lang w:val="en-US" w:eastAsia="zh-CN"/>
        </w:rPr>
        <w:t>16346.46</w:t>
      </w:r>
      <w:r>
        <w:rPr>
          <w:rFonts w:hint="default" w:ascii="Times New Roman" w:hAnsi="Times New Roman" w:eastAsia="方正仿宋_GBK" w:cs="Times New Roman"/>
          <w:kern w:val="0"/>
          <w:highlight w:val="none"/>
        </w:rPr>
        <w:t>万元，</w:t>
      </w:r>
      <w:r>
        <w:rPr>
          <w:rFonts w:hint="default" w:ascii="Times New Roman" w:hAnsi="Times New Roman" w:eastAsia="方正仿宋_GBK" w:cs="Times New Roman"/>
          <w:highlight w:val="none"/>
        </w:rPr>
        <w:t>全年支付养老保险金</w:t>
      </w:r>
      <w:r>
        <w:rPr>
          <w:rFonts w:hint="default" w:ascii="Times New Roman" w:hAnsi="Times New Roman" w:eastAsia="方正仿宋_GBK" w:cs="Times New Roman"/>
          <w:highlight w:val="none"/>
          <w:lang w:val="en-US" w:eastAsia="zh-CN"/>
        </w:rPr>
        <w:t>32611.53</w:t>
      </w:r>
      <w:r>
        <w:rPr>
          <w:rFonts w:hint="default" w:ascii="Times New Roman" w:hAnsi="Times New Roman" w:eastAsia="方正仿宋_GBK" w:cs="Times New Roman"/>
          <w:highlight w:val="none"/>
        </w:rPr>
        <w:t>万元；城乡居民基本养老保险参保人数</w:t>
      </w:r>
      <w:r>
        <w:rPr>
          <w:rFonts w:hint="default" w:ascii="Times New Roman" w:hAnsi="Times New Roman" w:eastAsia="方正仿宋_GBK" w:cs="Times New Roman"/>
          <w:highlight w:val="none"/>
          <w:lang w:val="en-US" w:eastAsia="zh-CN"/>
        </w:rPr>
        <w:t>113533</w:t>
      </w:r>
      <w:r>
        <w:rPr>
          <w:rFonts w:hint="default" w:ascii="Times New Roman" w:hAnsi="Times New Roman" w:eastAsia="方正仿宋_GBK" w:cs="Times New Roman"/>
          <w:highlight w:val="none"/>
        </w:rPr>
        <w:t>人，参保率</w:t>
      </w:r>
      <w:r>
        <w:rPr>
          <w:rFonts w:hint="default" w:ascii="Times New Roman" w:hAnsi="Times New Roman" w:eastAsia="方正仿宋_GBK" w:cs="Times New Roman"/>
          <w:highlight w:val="none"/>
          <w:lang w:val="en-US" w:eastAsia="zh-CN"/>
        </w:rPr>
        <w:t>98.5</w:t>
      </w:r>
      <w:r>
        <w:rPr>
          <w:rFonts w:hint="default" w:ascii="Times New Roman" w:hAnsi="Times New Roman" w:eastAsia="方正仿宋_GBK" w:cs="Times New Roman"/>
          <w:highlight w:val="none"/>
        </w:rPr>
        <w:t>%，实际收缴养老保险基金</w:t>
      </w:r>
      <w:r>
        <w:rPr>
          <w:rFonts w:hint="default" w:ascii="Times New Roman" w:hAnsi="Times New Roman" w:eastAsia="方正仿宋_GBK" w:cs="Times New Roman"/>
          <w:highlight w:val="none"/>
          <w:lang w:val="en-US" w:eastAsia="zh-CN"/>
        </w:rPr>
        <w:t>1320.88</w:t>
      </w:r>
      <w:r>
        <w:rPr>
          <w:rFonts w:hint="default" w:ascii="Times New Roman" w:hAnsi="Times New Roman" w:eastAsia="方正仿宋_GBK" w:cs="Times New Roman"/>
          <w:highlight w:val="none"/>
        </w:rPr>
        <w:t>万元，</w:t>
      </w:r>
      <w:r>
        <w:rPr>
          <w:rFonts w:hint="default" w:ascii="Times New Roman" w:hAnsi="Times New Roman" w:eastAsia="方正仿宋_GBK" w:cs="Times New Roman"/>
          <w:kern w:val="0"/>
          <w:highlight w:val="none"/>
        </w:rPr>
        <w:t>政府补贴</w:t>
      </w:r>
      <w:r>
        <w:rPr>
          <w:rFonts w:hint="default" w:ascii="Times New Roman" w:hAnsi="Times New Roman" w:eastAsia="方正仿宋_GBK" w:cs="Times New Roman"/>
          <w:kern w:val="0"/>
          <w:highlight w:val="none"/>
          <w:lang w:val="en-US" w:eastAsia="zh-CN"/>
        </w:rPr>
        <w:t>3919.44</w:t>
      </w:r>
      <w:r>
        <w:rPr>
          <w:rFonts w:hint="default" w:ascii="Times New Roman" w:hAnsi="Times New Roman" w:eastAsia="方正仿宋_GBK" w:cs="Times New Roman"/>
          <w:kern w:val="0"/>
          <w:highlight w:val="none"/>
        </w:rPr>
        <w:t>万元，实际支付养老金</w:t>
      </w:r>
      <w:r>
        <w:rPr>
          <w:rFonts w:hint="default" w:ascii="Times New Roman" w:hAnsi="Times New Roman" w:eastAsia="方正仿宋_GBK" w:cs="Times New Roman"/>
          <w:kern w:val="0"/>
          <w:highlight w:val="none"/>
          <w:lang w:val="en-US" w:eastAsia="zh-CN"/>
        </w:rPr>
        <w:t>3577.46</w:t>
      </w:r>
      <w:r>
        <w:rPr>
          <w:rFonts w:hint="default" w:ascii="Times New Roman" w:hAnsi="Times New Roman" w:eastAsia="方正仿宋_GBK" w:cs="Times New Roman"/>
          <w:kern w:val="0"/>
          <w:highlight w:val="none"/>
        </w:rPr>
        <w:t>万元。</w:t>
      </w:r>
      <w:r>
        <w:rPr>
          <w:rFonts w:hint="default" w:ascii="Times New Roman" w:hAnsi="Times New Roman" w:eastAsia="方正仿宋_GBK" w:cs="Times New Roman"/>
          <w:color w:val="auto"/>
          <w:highlight w:val="none"/>
        </w:rPr>
        <w:t>城镇职工基本医疗保险参保20282人，其中：在职人员13305人，退休人员6977人，全年实际收缴基本医疗保险金9246万元（含生育保险495万元），城镇职工基本医疗保险基金支付7508万元（含生育待遇支付404万元）。全县参加城乡居民医疗保险人数182733人，居民保费收入4728万元，全年享受待遇94万人次，基金支出7945万元。</w:t>
      </w:r>
      <w:r>
        <w:rPr>
          <w:rFonts w:hint="default" w:ascii="Times New Roman" w:hAnsi="Times New Roman" w:eastAsia="方正仿宋_GBK" w:cs="Times New Roman"/>
          <w:highlight w:val="none"/>
        </w:rPr>
        <w:t>工伤保险参保企业职工</w:t>
      </w:r>
      <w:r>
        <w:rPr>
          <w:rFonts w:hint="default" w:ascii="Times New Roman" w:hAnsi="Times New Roman" w:eastAsia="方正仿宋_GBK" w:cs="Times New Roman"/>
          <w:highlight w:val="none"/>
          <w:lang w:val="en-US" w:eastAsia="zh-CN"/>
        </w:rPr>
        <w:t>12584</w:t>
      </w:r>
      <w:r>
        <w:rPr>
          <w:rFonts w:hint="default" w:ascii="Times New Roman" w:hAnsi="Times New Roman" w:eastAsia="方正仿宋_GBK" w:cs="Times New Roman"/>
          <w:highlight w:val="none"/>
        </w:rPr>
        <w:t>人，其中：农民工</w:t>
      </w:r>
      <w:r>
        <w:rPr>
          <w:rFonts w:hint="default" w:ascii="Times New Roman" w:hAnsi="Times New Roman" w:eastAsia="方正仿宋_GBK" w:cs="Times New Roman"/>
          <w:highlight w:val="none"/>
          <w:lang w:val="en-US" w:eastAsia="zh-CN"/>
        </w:rPr>
        <w:t>9360</w:t>
      </w:r>
      <w:r>
        <w:rPr>
          <w:rFonts w:hint="default" w:ascii="Times New Roman" w:hAnsi="Times New Roman" w:eastAsia="方正仿宋_GBK" w:cs="Times New Roman"/>
          <w:highlight w:val="none"/>
        </w:rPr>
        <w:t>人，全年收缴保险基金</w:t>
      </w:r>
      <w:r>
        <w:rPr>
          <w:rFonts w:hint="default" w:ascii="Times New Roman" w:hAnsi="Times New Roman" w:eastAsia="方正仿宋_GBK" w:cs="Times New Roman"/>
          <w:highlight w:val="none"/>
          <w:lang w:val="en-US" w:eastAsia="zh-CN"/>
        </w:rPr>
        <w:t>344.01</w:t>
      </w:r>
      <w:r>
        <w:rPr>
          <w:rFonts w:hint="default" w:ascii="Times New Roman" w:hAnsi="Times New Roman" w:eastAsia="方正仿宋_GBK" w:cs="Times New Roman"/>
          <w:highlight w:val="none"/>
        </w:rPr>
        <w:t>万元，支付</w:t>
      </w:r>
      <w:r>
        <w:rPr>
          <w:rFonts w:hint="default" w:ascii="Times New Roman" w:hAnsi="Times New Roman" w:eastAsia="方正仿宋_GBK" w:cs="Times New Roman"/>
          <w:highlight w:val="none"/>
          <w:lang w:val="en-US" w:eastAsia="zh-CN"/>
        </w:rPr>
        <w:t>342.1</w:t>
      </w:r>
      <w:r>
        <w:rPr>
          <w:rFonts w:hint="default" w:ascii="Times New Roman" w:hAnsi="Times New Roman" w:eastAsia="方正仿宋_GBK" w:cs="Times New Roman"/>
          <w:highlight w:val="none"/>
        </w:rPr>
        <w:t>万元。失业保险参保职工9664人，全年实际收缴失业保险费557.3万元；失业保险基金支出621.97万元，其中：失业保险金支出155.85万元、医疗保险缴费补助44.34万元、职业技能提升补贴618.54万元、稳岗补贴170.67万元、失业保险临时价格补贴18.31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FF0000"/>
          <w:highlight w:val="none"/>
        </w:rPr>
      </w:pPr>
      <w:r>
        <w:rPr>
          <w:rFonts w:hint="default" w:ascii="Times New Roman" w:hAnsi="Times New Roman" w:eastAsia="方正仿宋_GBK" w:cs="Times New Roman"/>
          <w:highlight w:val="none"/>
          <w:lang w:eastAsia="zh-CN"/>
        </w:rPr>
        <w:t>2020</w:t>
      </w:r>
      <w:r>
        <w:rPr>
          <w:rFonts w:hint="default" w:ascii="Times New Roman" w:hAnsi="Times New Roman" w:eastAsia="方正仿宋_GBK" w:cs="Times New Roman"/>
          <w:highlight w:val="none"/>
        </w:rPr>
        <w:t>年，全县城镇新增就业人员</w:t>
      </w:r>
      <w:r>
        <w:rPr>
          <w:rFonts w:hint="default" w:ascii="Times New Roman" w:hAnsi="Times New Roman" w:eastAsia="方正仿宋_GBK" w:cs="Times New Roman"/>
          <w:highlight w:val="none"/>
          <w:lang w:val="en-US" w:eastAsia="zh-CN"/>
        </w:rPr>
        <w:t>2658</w:t>
      </w:r>
      <w:r>
        <w:rPr>
          <w:rFonts w:hint="default" w:ascii="Times New Roman" w:hAnsi="Times New Roman" w:eastAsia="方正仿宋_GBK" w:cs="Times New Roman"/>
          <w:highlight w:val="none"/>
        </w:rPr>
        <w:t>人，城镇下岗失业人员再就业</w:t>
      </w:r>
      <w:r>
        <w:rPr>
          <w:rFonts w:hint="default" w:ascii="Times New Roman" w:hAnsi="Times New Roman" w:eastAsia="方正仿宋_GBK" w:cs="Times New Roman"/>
          <w:highlight w:val="none"/>
          <w:lang w:val="en-US" w:eastAsia="zh-CN"/>
        </w:rPr>
        <w:t>785</w:t>
      </w:r>
      <w:r>
        <w:rPr>
          <w:rFonts w:hint="default" w:ascii="Times New Roman" w:hAnsi="Times New Roman" w:eastAsia="方正仿宋_GBK" w:cs="Times New Roman"/>
          <w:highlight w:val="none"/>
        </w:rPr>
        <w:t>人，帮助就业困难人员实现就业</w:t>
      </w:r>
      <w:r>
        <w:rPr>
          <w:rFonts w:hint="default" w:ascii="Times New Roman" w:hAnsi="Times New Roman" w:eastAsia="方正仿宋_GBK" w:cs="Times New Roman"/>
          <w:highlight w:val="none"/>
          <w:lang w:val="en-US" w:eastAsia="zh-CN"/>
        </w:rPr>
        <w:t>678</w:t>
      </w:r>
      <w:r>
        <w:rPr>
          <w:rFonts w:hint="default" w:ascii="Times New Roman" w:hAnsi="Times New Roman" w:eastAsia="方正仿宋_GBK" w:cs="Times New Roman"/>
          <w:highlight w:val="none"/>
        </w:rPr>
        <w:t>人，开发公益性岗位</w:t>
      </w:r>
      <w:r>
        <w:rPr>
          <w:rFonts w:hint="default" w:ascii="Times New Roman" w:hAnsi="Times New Roman" w:eastAsia="方正仿宋_GBK" w:cs="Times New Roman"/>
          <w:highlight w:val="none"/>
          <w:lang w:val="en-US" w:eastAsia="zh-CN"/>
        </w:rPr>
        <w:t>47</w:t>
      </w:r>
      <w:r>
        <w:rPr>
          <w:rFonts w:hint="default" w:ascii="Times New Roman" w:hAnsi="Times New Roman" w:eastAsia="方正仿宋_GBK" w:cs="Times New Roman"/>
          <w:highlight w:val="none"/>
        </w:rPr>
        <w:t>个，城镇登记失业率</w:t>
      </w:r>
      <w:r>
        <w:rPr>
          <w:rFonts w:hint="default" w:ascii="Times New Roman" w:hAnsi="Times New Roman" w:eastAsia="方正仿宋_GBK" w:cs="Times New Roman"/>
          <w:highlight w:val="none"/>
          <w:lang w:val="en-US" w:eastAsia="zh-CN"/>
        </w:rPr>
        <w:t>3.41</w:t>
      </w:r>
      <w:r>
        <w:rPr>
          <w:rFonts w:hint="default" w:ascii="Times New Roman" w:hAnsi="Times New Roman" w:eastAsia="方正仿宋_GBK" w:cs="Times New Roman"/>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highlight w:val="none"/>
        </w:rPr>
      </w:pPr>
      <w:r>
        <w:rPr>
          <w:rFonts w:hint="default" w:ascii="Times New Roman" w:hAnsi="Times New Roman" w:eastAsia="方正黑体_GBK" w:cs="Times New Roman"/>
          <w:highlight w:val="none"/>
        </w:rPr>
        <w:t>十二、人民生活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highlight w:val="none"/>
        </w:rPr>
      </w:pPr>
      <w:r>
        <w:rPr>
          <w:rFonts w:hint="default" w:ascii="Times New Roman" w:hAnsi="Times New Roman" w:eastAsia="方正仿宋_GBK" w:cs="Times New Roman"/>
          <w:kern w:val="0"/>
          <w:highlight w:val="none"/>
        </w:rPr>
        <w:t>城乡居民生活水平进一步提高。</w:t>
      </w:r>
      <w:r>
        <w:rPr>
          <w:rFonts w:hint="eastAsia" w:eastAsia="方正仿宋_GBK" w:cs="Times New Roman"/>
          <w:kern w:val="0"/>
          <w:highlight w:val="none"/>
          <w:lang w:val="en-US" w:eastAsia="zh-CN"/>
        </w:rPr>
        <w:t>2020年</w:t>
      </w:r>
      <w:r>
        <w:rPr>
          <w:rFonts w:hint="default" w:ascii="Times New Roman" w:hAnsi="Times New Roman" w:eastAsia="方正仿宋_GBK" w:cs="Times New Roman"/>
          <w:kern w:val="0"/>
          <w:highlight w:val="none"/>
        </w:rPr>
        <w:t>城镇居民人均可支配收入</w:t>
      </w:r>
      <w:r>
        <w:rPr>
          <w:rFonts w:hint="default" w:ascii="Times New Roman" w:hAnsi="Times New Roman" w:eastAsia="方正仿宋_GBK" w:cs="Times New Roman"/>
          <w:kern w:val="0"/>
          <w:highlight w:val="none"/>
          <w:lang w:val="en-US" w:eastAsia="zh-CN"/>
        </w:rPr>
        <w:t>41120</w:t>
      </w:r>
      <w:r>
        <w:rPr>
          <w:rFonts w:hint="default" w:ascii="Times New Roman" w:hAnsi="Times New Roman" w:eastAsia="方正仿宋_GBK" w:cs="Times New Roman"/>
          <w:kern w:val="0"/>
          <w:highlight w:val="none"/>
        </w:rPr>
        <w:t>元，增长</w:t>
      </w:r>
      <w:r>
        <w:rPr>
          <w:rFonts w:hint="default" w:ascii="Times New Roman" w:hAnsi="Times New Roman" w:eastAsia="方正仿宋_GBK" w:cs="Times New Roman"/>
          <w:kern w:val="0"/>
          <w:highlight w:val="none"/>
          <w:lang w:val="en-US" w:eastAsia="zh-CN"/>
        </w:rPr>
        <w:t>3.2</w:t>
      </w:r>
      <w:r>
        <w:rPr>
          <w:rFonts w:hint="default" w:ascii="Times New Roman" w:hAnsi="Times New Roman" w:eastAsia="方正仿宋_GBK" w:cs="Times New Roman"/>
          <w:highlight w:val="none"/>
        </w:rPr>
        <w:t>%</w:t>
      </w:r>
      <w:r>
        <w:rPr>
          <w:rFonts w:hint="default" w:ascii="Times New Roman" w:hAnsi="Times New Roman" w:eastAsia="方正仿宋_GBK" w:cs="Times New Roman"/>
          <w:kern w:val="0"/>
          <w:highlight w:val="none"/>
        </w:rPr>
        <w:t>；农村居民人均可支配收入</w:t>
      </w:r>
      <w:r>
        <w:rPr>
          <w:rFonts w:hint="default" w:ascii="Times New Roman" w:hAnsi="Times New Roman" w:eastAsia="方正仿宋_GBK" w:cs="Times New Roman"/>
          <w:kern w:val="0"/>
          <w:highlight w:val="none"/>
          <w:lang w:val="en-US" w:eastAsia="zh-CN"/>
        </w:rPr>
        <w:t>15128</w:t>
      </w:r>
      <w:r>
        <w:rPr>
          <w:rFonts w:hint="default" w:ascii="Times New Roman" w:hAnsi="Times New Roman" w:eastAsia="方正仿宋_GBK" w:cs="Times New Roman"/>
          <w:kern w:val="0"/>
          <w:highlight w:val="none"/>
        </w:rPr>
        <w:t>元，增长</w:t>
      </w:r>
      <w:r>
        <w:rPr>
          <w:rFonts w:hint="default" w:ascii="Times New Roman" w:hAnsi="Times New Roman" w:eastAsia="方正仿宋_GBK" w:cs="Times New Roman"/>
          <w:kern w:val="0"/>
          <w:highlight w:val="none"/>
          <w:lang w:val="en-US" w:eastAsia="zh-CN"/>
        </w:rPr>
        <w:t>7.3</w:t>
      </w:r>
      <w:r>
        <w:rPr>
          <w:rFonts w:hint="default" w:ascii="Times New Roman" w:hAnsi="Times New Roman" w:eastAsia="方正仿宋_GBK" w:cs="Times New Roman"/>
          <w:highlight w:val="none"/>
        </w:rPr>
        <w:t>%</w:t>
      </w:r>
      <w:r>
        <w:rPr>
          <w:rFonts w:hint="default" w:ascii="Times New Roman" w:hAnsi="Times New Roman" w:eastAsia="方正仿宋_GBK" w:cs="Times New Roman"/>
          <w:kern w:val="0"/>
          <w:highlight w:val="none"/>
        </w:rPr>
        <w:t>。</w:t>
      </w:r>
    </w:p>
    <w:p>
      <w:pPr>
        <w:spacing w:line="540" w:lineRule="exact"/>
        <w:rPr>
          <w:rFonts w:hint="default" w:ascii="Times New Roman" w:hAnsi="Times New Roman" w:eastAsia="方正仿宋_GBK" w:cs="Times New Roman"/>
          <w:kern w:val="0"/>
          <w:highlight w:val="none"/>
        </w:rPr>
      </w:pPr>
      <w:r>
        <w:rPr>
          <w:rFonts w:hint="default" w:ascii="Times New Roman" w:hAnsi="Times New Roman" w:cs="Times New Roman"/>
          <w:highlight w:val="none"/>
        </w:rPr>
        <w:drawing>
          <wp:anchor distT="0" distB="0" distL="114300" distR="114300" simplePos="0" relativeHeight="251662336" behindDoc="0" locked="0" layoutInCell="1" allowOverlap="1">
            <wp:simplePos x="0" y="0"/>
            <wp:positionH relativeFrom="column">
              <wp:posOffset>-157480</wp:posOffset>
            </wp:positionH>
            <wp:positionV relativeFrom="paragraph">
              <wp:posOffset>212090</wp:posOffset>
            </wp:positionV>
            <wp:extent cx="2879725" cy="2879725"/>
            <wp:effectExtent l="4445" t="4445" r="11430" b="11430"/>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default" w:ascii="Times New Roman" w:hAnsi="Times New Roman" w:cs="Times New Roman"/>
          <w:highlight w:val="none"/>
        </w:rPr>
        <w:drawing>
          <wp:anchor distT="0" distB="0" distL="114300" distR="114300" simplePos="0" relativeHeight="251663360" behindDoc="0" locked="0" layoutInCell="1" allowOverlap="1">
            <wp:simplePos x="0" y="0"/>
            <wp:positionH relativeFrom="column">
              <wp:posOffset>2928620</wp:posOffset>
            </wp:positionH>
            <wp:positionV relativeFrom="paragraph">
              <wp:posOffset>212090</wp:posOffset>
            </wp:positionV>
            <wp:extent cx="2879725" cy="2879725"/>
            <wp:effectExtent l="4445" t="4445" r="11430" b="11430"/>
            <wp:wrapNone/>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40" w:lineRule="exact"/>
        <w:ind w:firstLine="640" w:firstLineChars="200"/>
        <w:rPr>
          <w:rFonts w:hint="default" w:ascii="Times New Roman" w:hAnsi="Times New Roman" w:eastAsia="方正楷体_GBK" w:cs="Times New Roman"/>
          <w:kern w:val="0"/>
          <w:highlight w:val="none"/>
        </w:rPr>
      </w:pPr>
    </w:p>
    <w:p>
      <w:pPr>
        <w:spacing w:line="540" w:lineRule="exact"/>
        <w:ind w:firstLine="640" w:firstLineChars="200"/>
        <w:rPr>
          <w:rFonts w:hint="default" w:ascii="Times New Roman" w:hAnsi="Times New Roman" w:eastAsia="方正楷体_GBK" w:cs="Times New Roman"/>
          <w:kern w:val="0"/>
          <w:highlight w:val="none"/>
        </w:rPr>
      </w:pPr>
    </w:p>
    <w:p>
      <w:pPr>
        <w:spacing w:line="540" w:lineRule="exact"/>
        <w:ind w:firstLine="640" w:firstLineChars="200"/>
        <w:rPr>
          <w:rFonts w:hint="default" w:ascii="Times New Roman" w:hAnsi="Times New Roman" w:eastAsia="方正楷体_GBK" w:cs="Times New Roman"/>
          <w:kern w:val="0"/>
          <w:highlight w:val="none"/>
        </w:rPr>
      </w:pPr>
    </w:p>
    <w:p>
      <w:pPr>
        <w:spacing w:line="540" w:lineRule="exact"/>
        <w:ind w:firstLine="640" w:firstLineChars="200"/>
        <w:rPr>
          <w:rFonts w:hint="default" w:ascii="Times New Roman" w:hAnsi="Times New Roman" w:eastAsia="方正楷体_GBK" w:cs="Times New Roman"/>
          <w:kern w:val="0"/>
          <w:highlight w:val="none"/>
        </w:rPr>
      </w:pPr>
    </w:p>
    <w:p>
      <w:pPr>
        <w:spacing w:line="540" w:lineRule="exact"/>
        <w:ind w:firstLine="640" w:firstLineChars="200"/>
        <w:rPr>
          <w:rFonts w:hint="default" w:ascii="Times New Roman" w:hAnsi="Times New Roman" w:eastAsia="方正楷体_GBK" w:cs="Times New Roman"/>
          <w:kern w:val="0"/>
          <w:highlight w:val="none"/>
        </w:rPr>
      </w:pPr>
    </w:p>
    <w:p>
      <w:pPr>
        <w:spacing w:line="540" w:lineRule="exact"/>
        <w:ind w:firstLine="640" w:firstLineChars="200"/>
        <w:rPr>
          <w:rFonts w:hint="default" w:ascii="Times New Roman" w:hAnsi="Times New Roman" w:eastAsia="方正楷体_GBK" w:cs="Times New Roman"/>
          <w:kern w:val="0"/>
          <w:highlight w:val="none"/>
        </w:rPr>
      </w:pPr>
    </w:p>
    <w:p>
      <w:pPr>
        <w:spacing w:line="540" w:lineRule="exact"/>
        <w:ind w:firstLine="640" w:firstLineChars="200"/>
        <w:rPr>
          <w:rFonts w:hint="default" w:ascii="Times New Roman" w:hAnsi="Times New Roman" w:eastAsia="方正楷体_GBK" w:cs="Times New Roman"/>
          <w:kern w:val="0"/>
          <w:highlight w:val="none"/>
        </w:rPr>
      </w:pPr>
      <w:bookmarkStart w:id="0" w:name="_GoBack"/>
      <w:bookmarkEnd w:id="0"/>
    </w:p>
    <w:p>
      <w:pPr>
        <w:spacing w:line="540" w:lineRule="exact"/>
        <w:ind w:firstLine="643" w:firstLineChars="200"/>
        <w:rPr>
          <w:rFonts w:hint="default" w:ascii="Times New Roman" w:hAnsi="Times New Roman" w:eastAsia="方正楷体_GBK" w:cs="Times New Roman"/>
          <w:b/>
          <w:bCs/>
          <w:kern w:val="0"/>
          <w:highlight w:val="none"/>
        </w:rPr>
      </w:pPr>
      <w:r>
        <w:rPr>
          <w:rFonts w:hint="default" w:ascii="Times New Roman" w:hAnsi="Times New Roman" w:eastAsia="方正楷体_GBK" w:cs="Times New Roman"/>
          <w:b/>
          <w:bCs/>
          <w:kern w:val="0"/>
          <w:highlight w:val="none"/>
        </w:rPr>
        <w:t>注释：</w:t>
      </w:r>
    </w:p>
    <w:p>
      <w:pPr>
        <w:numPr>
          <w:ilvl w:val="0"/>
          <w:numId w:val="1"/>
        </w:numPr>
        <w:spacing w:line="540" w:lineRule="exact"/>
        <w:ind w:firstLine="640" w:firstLineChars="200"/>
        <w:rPr>
          <w:rFonts w:hint="default" w:ascii="Times New Roman" w:hAnsi="Times New Roman" w:eastAsia="方正楷体_GBK" w:cs="Times New Roman"/>
          <w:kern w:val="0"/>
          <w:highlight w:val="none"/>
        </w:rPr>
      </w:pPr>
      <w:r>
        <w:rPr>
          <w:rFonts w:hint="default" w:ascii="Times New Roman" w:hAnsi="Times New Roman" w:eastAsia="方正楷体_GBK" w:cs="Times New Roman"/>
          <w:kern w:val="0"/>
          <w:highlight w:val="none"/>
        </w:rPr>
        <w:t>本公报资料来源，除主要经济指标来自元江县统计局外，其他数据均由各部门提供；</w:t>
      </w:r>
    </w:p>
    <w:p>
      <w:pPr>
        <w:numPr>
          <w:ilvl w:val="0"/>
          <w:numId w:val="1"/>
        </w:numPr>
        <w:spacing w:line="540" w:lineRule="exact"/>
        <w:ind w:firstLine="640" w:firstLineChars="200"/>
        <w:rPr>
          <w:rFonts w:hint="default" w:ascii="Times New Roman" w:hAnsi="Times New Roman" w:eastAsia="方正楷体_GBK" w:cs="Times New Roman"/>
          <w:kern w:val="0"/>
          <w:highlight w:val="none"/>
        </w:rPr>
      </w:pPr>
      <w:r>
        <w:rPr>
          <w:rFonts w:hint="default" w:ascii="Times New Roman" w:hAnsi="Times New Roman" w:eastAsia="方正楷体_GBK" w:cs="Times New Roman"/>
          <w:kern w:val="0"/>
          <w:highlight w:val="none"/>
        </w:rPr>
        <w:t>生产总值、增加值绝对数按现行价格计算，增长速度按可比价格计算。</w:t>
      </w:r>
    </w:p>
    <w:p>
      <w:pPr>
        <w:numPr>
          <w:ilvl w:val="0"/>
          <w:numId w:val="1"/>
        </w:numPr>
        <w:spacing w:line="540" w:lineRule="exact"/>
        <w:ind w:firstLine="640" w:firstLineChars="200"/>
        <w:rPr>
          <w:rFonts w:hint="default" w:ascii="Times New Roman" w:hAnsi="Times New Roman" w:eastAsia="方正楷体_GBK" w:cs="Times New Roman"/>
          <w:kern w:val="0"/>
          <w:highlight w:val="none"/>
        </w:rPr>
      </w:pPr>
      <w:r>
        <w:rPr>
          <w:rFonts w:hint="default" w:ascii="Times New Roman" w:hAnsi="Times New Roman" w:eastAsia="方正楷体_GBK" w:cs="Times New Roman"/>
          <w:kern w:val="0"/>
          <w:highlight w:val="none"/>
        </w:rPr>
        <w:t>公报中2016-2018年生产总值总量数据为根据第四次全国经济普查结果修订后数据。</w:t>
      </w:r>
    </w:p>
    <w:p>
      <w:pPr>
        <w:spacing w:line="540" w:lineRule="exact"/>
        <w:ind w:firstLine="640" w:firstLineChars="200"/>
        <w:rPr>
          <w:rFonts w:hint="default" w:ascii="Times New Roman" w:hAnsi="Times New Roman" w:eastAsia="方正楷体_GBK" w:cs="Times New Roman"/>
          <w:kern w:val="0"/>
          <w:highlight w:val="none"/>
          <w:lang w:eastAsia="zh-CN"/>
        </w:rPr>
      </w:pPr>
      <w:r>
        <w:rPr>
          <w:rFonts w:hint="default" w:ascii="Times New Roman" w:hAnsi="Times New Roman" w:eastAsia="方正楷体_GBK" w:cs="Times New Roman"/>
          <w:kern w:val="0"/>
          <w:highlight w:val="none"/>
        </w:rPr>
        <w:t>[</w:t>
      </w:r>
      <w:r>
        <w:rPr>
          <w:rFonts w:hint="default" w:ascii="Times New Roman" w:hAnsi="Times New Roman" w:eastAsia="方正楷体_GBK" w:cs="Times New Roman"/>
          <w:kern w:val="0"/>
          <w:highlight w:val="none"/>
          <w:lang w:val="en-US" w:eastAsia="zh-CN"/>
        </w:rPr>
        <w:t>4</w:t>
      </w:r>
      <w:r>
        <w:rPr>
          <w:rFonts w:hint="default" w:ascii="Times New Roman" w:hAnsi="Times New Roman" w:eastAsia="方正楷体_GBK" w:cs="Times New Roman"/>
          <w:kern w:val="0"/>
          <w:highlight w:val="none"/>
        </w:rPr>
        <w:t>]本公报所列数据均为年快报数据，如数据与当年《统计年鉴》资料有出入，以《统计年鉴》资料为准</w:t>
      </w:r>
      <w:r>
        <w:rPr>
          <w:rFonts w:hint="default" w:ascii="Times New Roman" w:hAnsi="Times New Roman" w:eastAsia="方正楷体_GBK" w:cs="Times New Roman"/>
          <w:kern w:val="0"/>
          <w:highlight w:val="none"/>
          <w:lang w:eastAsia="zh-CN"/>
        </w:rPr>
        <w:t>。</w:t>
      </w:r>
    </w:p>
    <w:p>
      <w:pPr>
        <w:spacing w:line="540" w:lineRule="exact"/>
        <w:jc w:val="center"/>
        <w:rPr>
          <w:rFonts w:hint="default" w:ascii="Times New Roman" w:hAnsi="Times New Roman" w:eastAsia="黑体" w:cs="Times New Roman"/>
          <w:kern w:val="0"/>
          <w:sz w:val="28"/>
          <w:szCs w:val="28"/>
          <w:highlight w:val="none"/>
        </w:rPr>
      </w:pPr>
    </w:p>
    <w:p>
      <w:pPr>
        <w:spacing w:line="540" w:lineRule="exact"/>
        <w:jc w:val="center"/>
        <w:rPr>
          <w:rFonts w:hint="default" w:ascii="Times New Roman" w:hAnsi="Times New Roman" w:eastAsia="黑体" w:cs="Times New Roman"/>
          <w:kern w:val="0"/>
          <w:sz w:val="28"/>
          <w:szCs w:val="28"/>
          <w:highlight w:val="none"/>
        </w:rPr>
      </w:pPr>
    </w:p>
    <w:p>
      <w:pPr>
        <w:spacing w:line="540" w:lineRule="exact"/>
        <w:jc w:val="center"/>
        <w:rPr>
          <w:rFonts w:hint="default" w:ascii="Times New Roman" w:hAnsi="Times New Roman" w:eastAsia="黑体" w:cs="Times New Roman"/>
          <w:kern w:val="0"/>
          <w:sz w:val="28"/>
          <w:szCs w:val="28"/>
          <w:highlight w:val="none"/>
        </w:rPr>
      </w:pPr>
    </w:p>
    <w:p>
      <w:pPr>
        <w:spacing w:line="540" w:lineRule="exact"/>
        <w:jc w:val="center"/>
        <w:rPr>
          <w:rFonts w:hint="default" w:ascii="Times New Roman" w:hAnsi="Times New Roman" w:eastAsia="黑体" w:cs="Times New Roman"/>
          <w:kern w:val="0"/>
          <w:sz w:val="28"/>
          <w:szCs w:val="28"/>
          <w:highlight w:val="none"/>
        </w:rPr>
      </w:pPr>
    </w:p>
    <w:p>
      <w:pPr>
        <w:spacing w:line="540" w:lineRule="exact"/>
        <w:jc w:val="center"/>
        <w:rPr>
          <w:rFonts w:hint="default" w:ascii="Times New Roman" w:hAnsi="Times New Roman" w:eastAsia="黑体" w:cs="Times New Roman"/>
          <w:kern w:val="0"/>
          <w:sz w:val="28"/>
          <w:szCs w:val="28"/>
          <w:highlight w:val="none"/>
        </w:rPr>
      </w:pPr>
    </w:p>
    <w:p>
      <w:pPr>
        <w:spacing w:line="540" w:lineRule="exact"/>
        <w:jc w:val="center"/>
        <w:rPr>
          <w:rFonts w:hint="default" w:ascii="Times New Roman" w:hAnsi="Times New Roman" w:eastAsia="黑体" w:cs="Times New Roman"/>
          <w:kern w:val="0"/>
          <w:sz w:val="28"/>
          <w:szCs w:val="28"/>
          <w:highlight w:val="none"/>
        </w:rPr>
      </w:pPr>
    </w:p>
    <w:p>
      <w:pPr>
        <w:spacing w:line="540" w:lineRule="exact"/>
        <w:jc w:val="center"/>
        <w:rPr>
          <w:rFonts w:hint="default" w:ascii="Times New Roman" w:hAnsi="Times New Roman" w:eastAsia="黑体" w:cs="Times New Roman"/>
          <w:kern w:val="0"/>
          <w:sz w:val="28"/>
          <w:szCs w:val="28"/>
          <w:highlight w:val="none"/>
        </w:rPr>
      </w:pPr>
    </w:p>
    <w:p>
      <w:pPr>
        <w:spacing w:line="540" w:lineRule="exact"/>
        <w:jc w:val="center"/>
        <w:rPr>
          <w:rFonts w:hint="default" w:ascii="Times New Roman" w:hAnsi="Times New Roman" w:eastAsia="黑体" w:cs="Times New Roman"/>
          <w:kern w:val="0"/>
          <w:sz w:val="28"/>
          <w:szCs w:val="28"/>
          <w:highlight w:val="none"/>
        </w:rPr>
      </w:pPr>
    </w:p>
    <w:p>
      <w:pPr>
        <w:spacing w:line="540" w:lineRule="exact"/>
        <w:jc w:val="center"/>
        <w:rPr>
          <w:rFonts w:hint="default" w:ascii="Times New Roman" w:hAnsi="Times New Roman" w:eastAsia="黑体" w:cs="Times New Roman"/>
          <w:kern w:val="0"/>
          <w:sz w:val="28"/>
          <w:szCs w:val="28"/>
          <w:highlight w:val="none"/>
        </w:rPr>
      </w:pPr>
    </w:p>
    <w:p>
      <w:pPr>
        <w:spacing w:line="540" w:lineRule="exact"/>
        <w:jc w:val="center"/>
        <w:rPr>
          <w:rFonts w:hint="default" w:ascii="Times New Roman" w:hAnsi="Times New Roman" w:eastAsia="黑体" w:cs="Times New Roman"/>
          <w:kern w:val="0"/>
          <w:sz w:val="28"/>
          <w:szCs w:val="28"/>
          <w:highlight w:val="none"/>
        </w:rPr>
      </w:pPr>
    </w:p>
    <w:p>
      <w:pPr>
        <w:spacing w:line="540" w:lineRule="exact"/>
        <w:jc w:val="center"/>
        <w:rPr>
          <w:rFonts w:hint="default" w:ascii="Times New Roman" w:hAnsi="Times New Roman" w:eastAsia="黑体" w:cs="Times New Roman"/>
          <w:kern w:val="0"/>
          <w:sz w:val="28"/>
          <w:szCs w:val="28"/>
          <w:highlight w:val="none"/>
        </w:rPr>
      </w:pPr>
    </w:p>
    <w:p>
      <w:pPr>
        <w:spacing w:line="540" w:lineRule="exact"/>
        <w:jc w:val="center"/>
        <w:rPr>
          <w:rFonts w:hint="default" w:ascii="Times New Roman" w:hAnsi="Times New Roman" w:eastAsia="黑体" w:cs="Times New Roman"/>
          <w:kern w:val="0"/>
          <w:sz w:val="28"/>
          <w:szCs w:val="28"/>
          <w:highlight w:val="none"/>
        </w:rPr>
      </w:pPr>
    </w:p>
    <w:p>
      <w:pPr>
        <w:spacing w:line="540" w:lineRule="exact"/>
        <w:jc w:val="center"/>
        <w:rPr>
          <w:rFonts w:hint="default" w:ascii="Times New Roman" w:hAnsi="Times New Roman" w:eastAsia="黑体" w:cs="Times New Roman"/>
          <w:kern w:val="0"/>
          <w:sz w:val="28"/>
          <w:szCs w:val="28"/>
          <w:highlight w:val="none"/>
        </w:rPr>
      </w:pPr>
    </w:p>
    <w:p>
      <w:pPr>
        <w:spacing w:line="540" w:lineRule="exact"/>
        <w:jc w:val="both"/>
        <w:rPr>
          <w:rFonts w:hint="default" w:ascii="Times New Roman" w:hAnsi="Times New Roman" w:eastAsia="黑体" w:cs="Times New Roman"/>
          <w:kern w:val="0"/>
          <w:sz w:val="28"/>
          <w:szCs w:val="28"/>
          <w:highlight w:val="none"/>
        </w:rPr>
      </w:pPr>
    </w:p>
    <w:p>
      <w:pPr>
        <w:spacing w:line="540" w:lineRule="exact"/>
        <w:jc w:val="both"/>
        <w:rPr>
          <w:rFonts w:hint="default" w:ascii="Times New Roman" w:hAnsi="Times New Roman" w:eastAsia="黑体" w:cs="Times New Roman"/>
          <w:kern w:val="0"/>
          <w:sz w:val="28"/>
          <w:szCs w:val="28"/>
          <w:highlight w:val="none"/>
        </w:rPr>
      </w:pPr>
    </w:p>
    <w:p>
      <w:pPr>
        <w:spacing w:line="540" w:lineRule="exact"/>
        <w:jc w:val="center"/>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主要指标完成情况（一）</w:t>
      </w:r>
    </w:p>
    <w:tbl>
      <w:tblPr>
        <w:tblStyle w:val="6"/>
        <w:tblW w:w="9303" w:type="dxa"/>
        <w:jc w:val="center"/>
        <w:tblInd w:w="0" w:type="dxa"/>
        <w:tblLayout w:type="fixed"/>
        <w:tblCellMar>
          <w:top w:w="15" w:type="dxa"/>
          <w:left w:w="15" w:type="dxa"/>
          <w:bottom w:w="15" w:type="dxa"/>
          <w:right w:w="15" w:type="dxa"/>
        </w:tblCellMar>
      </w:tblPr>
      <w:tblGrid>
        <w:gridCol w:w="1078"/>
        <w:gridCol w:w="1094"/>
        <w:gridCol w:w="846"/>
        <w:gridCol w:w="1125"/>
        <w:gridCol w:w="885"/>
        <w:gridCol w:w="1335"/>
        <w:gridCol w:w="915"/>
        <w:gridCol w:w="1170"/>
        <w:gridCol w:w="855"/>
      </w:tblGrid>
      <w:tr>
        <w:tblPrEx>
          <w:tblLayout w:type="fixed"/>
          <w:tblCellMar>
            <w:top w:w="15" w:type="dxa"/>
            <w:left w:w="15" w:type="dxa"/>
            <w:bottom w:w="15" w:type="dxa"/>
            <w:right w:w="15" w:type="dxa"/>
          </w:tblCellMar>
        </w:tblPrEx>
        <w:trPr>
          <w:trHeight w:val="425" w:hRule="atLeast"/>
          <w:jc w:val="center"/>
        </w:trPr>
        <w:tc>
          <w:tcPr>
            <w:tcW w:w="1078" w:type="dxa"/>
            <w:vMerge w:val="restart"/>
            <w:tcBorders>
              <w:top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地  区</w:t>
            </w:r>
          </w:p>
        </w:tc>
        <w:tc>
          <w:tcPr>
            <w:tcW w:w="3950" w:type="dxa"/>
            <w:gridSpan w:val="4"/>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生产总值</w:t>
            </w:r>
          </w:p>
        </w:tc>
        <w:tc>
          <w:tcPr>
            <w:tcW w:w="4275" w:type="dxa"/>
            <w:gridSpan w:val="4"/>
            <w:tcBorders>
              <w:top w:val="single" w:color="000000" w:sz="12" w:space="0"/>
              <w:left w:val="single" w:color="000000" w:sz="4" w:space="0"/>
              <w:bottom w:val="single" w:color="000000" w:sz="4" w:space="0"/>
              <w:right w:val="nil"/>
            </w:tcBorders>
            <w:shd w:val="clear" w:color="auto" w:fill="auto"/>
            <w:vAlign w:val="center"/>
          </w:tcPr>
          <w:p>
            <w:pPr>
              <w:widowControl/>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第一产业增加值</w:t>
            </w:r>
          </w:p>
        </w:tc>
      </w:tr>
      <w:tr>
        <w:tblPrEx>
          <w:tblLayout w:type="fixed"/>
          <w:tblCellMar>
            <w:top w:w="15" w:type="dxa"/>
            <w:left w:w="15" w:type="dxa"/>
            <w:bottom w:w="15" w:type="dxa"/>
            <w:right w:w="15" w:type="dxa"/>
          </w:tblCellMar>
        </w:tblPrEx>
        <w:trPr>
          <w:trHeight w:val="435" w:hRule="atLeast"/>
          <w:jc w:val="center"/>
        </w:trPr>
        <w:tc>
          <w:tcPr>
            <w:tcW w:w="1078" w:type="dxa"/>
            <w:vMerge w:val="continue"/>
            <w:tcBorders>
              <w:top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绝对数</w:t>
            </w:r>
            <w:r>
              <w:rPr>
                <w:rFonts w:hint="default" w:ascii="Times New Roman" w:hAnsi="Times New Roman" w:eastAsia="方正仿宋_GBK" w:cs="Times New Roman"/>
                <w:color w:val="000000"/>
                <w:kern w:val="0"/>
                <w:sz w:val="22"/>
                <w:szCs w:val="22"/>
                <w:highlight w:val="none"/>
              </w:rPr>
              <w:br w:type="textWrapping"/>
            </w:r>
            <w:r>
              <w:rPr>
                <w:rFonts w:hint="default" w:ascii="Times New Roman" w:hAnsi="Times New Roman" w:eastAsia="方正仿宋_GBK" w:cs="Times New Roman"/>
                <w:color w:val="000000"/>
                <w:kern w:val="0"/>
                <w:sz w:val="22"/>
                <w:szCs w:val="22"/>
                <w:highlight w:val="none"/>
              </w:rPr>
              <w:t>（亿元）</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增速</w:t>
            </w:r>
          </w:p>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绝对数</w:t>
            </w:r>
            <w:r>
              <w:rPr>
                <w:rFonts w:hint="default" w:ascii="Times New Roman" w:hAnsi="Times New Roman" w:eastAsia="方正仿宋_GBK" w:cs="Times New Roman"/>
                <w:color w:val="000000"/>
                <w:kern w:val="0"/>
                <w:sz w:val="22"/>
                <w:szCs w:val="22"/>
                <w:highlight w:val="none"/>
              </w:rPr>
              <w:br w:type="textWrapping"/>
            </w:r>
            <w:r>
              <w:rPr>
                <w:rFonts w:hint="default" w:ascii="Times New Roman" w:hAnsi="Times New Roman" w:eastAsia="方正仿宋_GBK" w:cs="Times New Roman"/>
                <w:color w:val="000000"/>
                <w:kern w:val="0"/>
                <w:sz w:val="22"/>
                <w:szCs w:val="22"/>
                <w:highlight w:val="none"/>
              </w:rPr>
              <w:t>（亿元）</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增速</w:t>
            </w:r>
          </w:p>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855"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r>
      <w:tr>
        <w:tblPrEx>
          <w:tblLayout w:type="fixed"/>
          <w:tblCellMar>
            <w:top w:w="15" w:type="dxa"/>
            <w:left w:w="15" w:type="dxa"/>
            <w:bottom w:w="15" w:type="dxa"/>
            <w:right w:w="15" w:type="dxa"/>
          </w:tblCellMar>
        </w:tblPrEx>
        <w:trPr>
          <w:trHeight w:val="435" w:hRule="atLeast"/>
          <w:jc w:val="center"/>
        </w:trPr>
        <w:tc>
          <w:tcPr>
            <w:tcW w:w="1078" w:type="dxa"/>
            <w:vMerge w:val="continue"/>
            <w:tcBorders>
              <w:top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5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全  国</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1015986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2.3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77754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3.0</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全  省</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24521.9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3598.91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5.7</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玉溪市</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2058.14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2.1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207.26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5.8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 xml:space="preserve"> 红塔区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890.16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2.3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20.12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6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5.5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8 </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 xml:space="preserve"> 江川区</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146.74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4.3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27.36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3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5.8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4 </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eastAsia="zh-CN"/>
              </w:rPr>
            </w:pPr>
            <w:r>
              <w:rPr>
                <w:rFonts w:hint="default" w:ascii="Times New Roman" w:hAnsi="Times New Roman" w:eastAsia="方正仿宋_GBK" w:cs="Times New Roman"/>
                <w:color w:val="000000"/>
                <w:kern w:val="0"/>
                <w:sz w:val="22"/>
                <w:szCs w:val="22"/>
                <w:highlight w:val="none"/>
              </w:rPr>
              <w:t xml:space="preserve"> </w:t>
            </w:r>
            <w:r>
              <w:rPr>
                <w:rFonts w:hint="default" w:ascii="Times New Roman" w:hAnsi="Times New Roman" w:eastAsia="方正仿宋_GBK" w:cs="Times New Roman"/>
                <w:color w:val="000000"/>
                <w:kern w:val="0"/>
                <w:sz w:val="22"/>
                <w:szCs w:val="22"/>
                <w:highlight w:val="none"/>
                <w:lang w:eastAsia="zh-CN"/>
              </w:rPr>
              <w:t>澄江市</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140.64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13.27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9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5.4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9 </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 xml:space="preserve"> 通海县</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172.26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5.4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26.15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5.8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4 </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 xml:space="preserve"> 华宁县</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119.48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2.3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26.41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4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5.8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4 </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 xml:space="preserve"> 易门县</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132.52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-6.0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15.53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8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5.8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4 </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 xml:space="preserve"> 峨山县</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117.62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17.59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7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5.9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1 </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 xml:space="preserve"> 新平县</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213.86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4.9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29.53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2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5.9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1 </w:t>
            </w:r>
          </w:p>
        </w:tc>
      </w:tr>
      <w:tr>
        <w:tblPrEx>
          <w:tblLayout w:type="fixed"/>
          <w:tblCellMar>
            <w:top w:w="15" w:type="dxa"/>
            <w:left w:w="15" w:type="dxa"/>
            <w:bottom w:w="15" w:type="dxa"/>
            <w:right w:w="15" w:type="dxa"/>
          </w:tblCellMar>
        </w:tblPrEx>
        <w:trPr>
          <w:trHeight w:val="340" w:hRule="exact"/>
          <w:jc w:val="center"/>
        </w:trPr>
        <w:tc>
          <w:tcPr>
            <w:tcW w:w="1078" w:type="dxa"/>
            <w:tcBorders>
              <w:top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 xml:space="preserve"> 元江县</w:t>
            </w:r>
          </w:p>
        </w:tc>
        <w:tc>
          <w:tcPr>
            <w:tcW w:w="1094" w:type="dxa"/>
            <w:tcBorders>
              <w:top w:val="single" w:color="000000" w:sz="4" w:space="0"/>
              <w:left w:val="single" w:color="000000" w:sz="4" w:space="0"/>
              <w:bottom w:val="single" w:color="000000" w:sz="12"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124.26</w:t>
            </w:r>
          </w:p>
        </w:tc>
        <w:tc>
          <w:tcPr>
            <w:tcW w:w="846" w:type="dxa"/>
            <w:tcBorders>
              <w:top w:val="single" w:color="000000" w:sz="4" w:space="0"/>
              <w:left w:val="single" w:color="000000" w:sz="4" w:space="0"/>
              <w:bottom w:val="single" w:color="000000" w:sz="12"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7</w:t>
            </w:r>
          </w:p>
        </w:tc>
        <w:tc>
          <w:tcPr>
            <w:tcW w:w="1125" w:type="dxa"/>
            <w:tcBorders>
              <w:top w:val="single" w:color="000000" w:sz="4" w:space="0"/>
              <w:left w:val="single" w:color="000000" w:sz="4" w:space="0"/>
              <w:bottom w:val="single" w:color="000000" w:sz="12"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1.7</w:t>
            </w:r>
          </w:p>
        </w:tc>
        <w:tc>
          <w:tcPr>
            <w:tcW w:w="885" w:type="dxa"/>
            <w:tcBorders>
              <w:top w:val="single" w:color="000000" w:sz="4" w:space="0"/>
              <w:left w:val="single" w:color="000000" w:sz="4" w:space="0"/>
              <w:bottom w:val="single" w:color="000000" w:sz="12" w:space="0"/>
              <w:right w:val="single" w:color="000000" w:sz="4" w:space="0"/>
            </w:tcBorders>
            <w:shd w:val="clear" w:color="auto" w:fill="auto"/>
            <w:vAlign w:val="top"/>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lang w:val="en-US" w:eastAsia="zh-CN"/>
              </w:rPr>
              <w:t>6</w:t>
            </w:r>
          </w:p>
        </w:tc>
        <w:tc>
          <w:tcPr>
            <w:tcW w:w="133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31.30 </w:t>
            </w:r>
          </w:p>
        </w:tc>
        <w:tc>
          <w:tcPr>
            <w:tcW w:w="91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1 </w:t>
            </w:r>
          </w:p>
        </w:tc>
        <w:tc>
          <w:tcPr>
            <w:tcW w:w="117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5.9 </w:t>
            </w:r>
          </w:p>
        </w:tc>
        <w:tc>
          <w:tcPr>
            <w:tcW w:w="855" w:type="dxa"/>
            <w:tcBorders>
              <w:top w:val="single" w:color="000000" w:sz="4" w:space="0"/>
              <w:left w:val="single" w:color="000000" w:sz="4" w:space="0"/>
              <w:bottom w:val="single" w:color="000000" w:sz="12"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val="en-US" w:eastAsia="zh-CN"/>
              </w:rPr>
            </w:pPr>
            <w:r>
              <w:rPr>
                <w:rFonts w:hint="default" w:ascii="Times New Roman" w:hAnsi="Times New Roman" w:eastAsia="方正仿宋_GBK" w:cs="Times New Roman"/>
                <w:color w:val="000000"/>
                <w:kern w:val="0"/>
                <w:sz w:val="22"/>
                <w:szCs w:val="22"/>
                <w:highlight w:val="none"/>
                <w:lang w:val="en-US" w:eastAsia="zh-CN"/>
              </w:rPr>
              <w:t xml:space="preserve">1 </w:t>
            </w:r>
          </w:p>
        </w:tc>
      </w:tr>
    </w:tbl>
    <w:p>
      <w:pPr>
        <w:spacing w:line="540" w:lineRule="exact"/>
        <w:jc w:val="center"/>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主要指标完成情况（二）</w:t>
      </w:r>
    </w:p>
    <w:tbl>
      <w:tblPr>
        <w:tblStyle w:val="6"/>
        <w:tblW w:w="9315" w:type="dxa"/>
        <w:jc w:val="center"/>
        <w:tblInd w:w="0" w:type="dxa"/>
        <w:tblLayout w:type="fixed"/>
        <w:tblCellMar>
          <w:top w:w="15" w:type="dxa"/>
          <w:left w:w="15" w:type="dxa"/>
          <w:bottom w:w="15" w:type="dxa"/>
          <w:right w:w="15" w:type="dxa"/>
        </w:tblCellMar>
      </w:tblPr>
      <w:tblGrid>
        <w:gridCol w:w="1080"/>
        <w:gridCol w:w="1125"/>
        <w:gridCol w:w="810"/>
        <w:gridCol w:w="1140"/>
        <w:gridCol w:w="870"/>
        <w:gridCol w:w="1335"/>
        <w:gridCol w:w="930"/>
        <w:gridCol w:w="1170"/>
        <w:gridCol w:w="855"/>
      </w:tblGrid>
      <w:tr>
        <w:tblPrEx>
          <w:tblLayout w:type="fixed"/>
          <w:tblCellMar>
            <w:top w:w="15" w:type="dxa"/>
            <w:left w:w="15" w:type="dxa"/>
            <w:bottom w:w="15" w:type="dxa"/>
            <w:right w:w="15" w:type="dxa"/>
          </w:tblCellMar>
        </w:tblPrEx>
        <w:trPr>
          <w:trHeight w:val="445" w:hRule="atLeast"/>
          <w:jc w:val="center"/>
        </w:trPr>
        <w:tc>
          <w:tcPr>
            <w:tcW w:w="1080" w:type="dxa"/>
            <w:vMerge w:val="restart"/>
            <w:tcBorders>
              <w:top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地  区</w:t>
            </w:r>
          </w:p>
        </w:tc>
        <w:tc>
          <w:tcPr>
            <w:tcW w:w="3945" w:type="dxa"/>
            <w:gridSpan w:val="4"/>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第二产业增加值</w:t>
            </w:r>
          </w:p>
        </w:tc>
        <w:tc>
          <w:tcPr>
            <w:tcW w:w="4290" w:type="dxa"/>
            <w:gridSpan w:val="4"/>
            <w:tcBorders>
              <w:top w:val="single" w:color="000000" w:sz="12" w:space="0"/>
              <w:left w:val="single" w:color="000000" w:sz="4" w:space="0"/>
              <w:bottom w:val="single" w:color="000000" w:sz="4" w:space="0"/>
              <w:right w:val="nil"/>
            </w:tcBorders>
            <w:shd w:val="clear" w:color="auto" w:fill="auto"/>
            <w:vAlign w:val="center"/>
          </w:tcPr>
          <w:p>
            <w:pPr>
              <w:widowControl/>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第三产业增加值</w:t>
            </w:r>
          </w:p>
        </w:tc>
      </w:tr>
      <w:tr>
        <w:tblPrEx>
          <w:tblLayout w:type="fixed"/>
          <w:tblCellMar>
            <w:top w:w="15" w:type="dxa"/>
            <w:left w:w="15" w:type="dxa"/>
            <w:bottom w:w="15" w:type="dxa"/>
            <w:right w:w="15" w:type="dxa"/>
          </w:tblCellMar>
        </w:tblPrEx>
        <w:trPr>
          <w:trHeight w:val="435" w:hRule="atLeast"/>
          <w:jc w:val="center"/>
        </w:trPr>
        <w:tc>
          <w:tcPr>
            <w:tcW w:w="1080" w:type="dxa"/>
            <w:vMerge w:val="continue"/>
            <w:tcBorders>
              <w:top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绝对数</w:t>
            </w:r>
            <w:r>
              <w:rPr>
                <w:rFonts w:hint="default" w:ascii="Times New Roman" w:hAnsi="Times New Roman" w:eastAsia="方正仿宋_GBK" w:cs="Times New Roman"/>
                <w:color w:val="000000"/>
                <w:kern w:val="0"/>
                <w:sz w:val="22"/>
                <w:szCs w:val="22"/>
                <w:highlight w:val="none"/>
              </w:rPr>
              <w:br w:type="textWrapping"/>
            </w:r>
            <w:r>
              <w:rPr>
                <w:rFonts w:hint="default" w:ascii="Times New Roman" w:hAnsi="Times New Roman" w:eastAsia="方正仿宋_GBK" w:cs="Times New Roman"/>
                <w:color w:val="000000"/>
                <w:kern w:val="0"/>
                <w:sz w:val="22"/>
                <w:szCs w:val="22"/>
                <w:highlight w:val="none"/>
              </w:rPr>
              <w:t>（亿元）</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增速</w:t>
            </w:r>
          </w:p>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绝对数</w:t>
            </w:r>
            <w:r>
              <w:rPr>
                <w:rFonts w:hint="default" w:ascii="Times New Roman" w:hAnsi="Times New Roman" w:eastAsia="方正仿宋_GBK" w:cs="Times New Roman"/>
                <w:color w:val="000000"/>
                <w:kern w:val="0"/>
                <w:sz w:val="22"/>
                <w:szCs w:val="22"/>
                <w:highlight w:val="none"/>
              </w:rPr>
              <w:br w:type="textWrapping"/>
            </w:r>
            <w:r>
              <w:rPr>
                <w:rFonts w:hint="default" w:ascii="Times New Roman" w:hAnsi="Times New Roman" w:eastAsia="方正仿宋_GBK" w:cs="Times New Roman"/>
                <w:color w:val="000000"/>
                <w:kern w:val="0"/>
                <w:sz w:val="22"/>
                <w:szCs w:val="22"/>
                <w:highlight w:val="none"/>
              </w:rPr>
              <w:t>（亿元）</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增速</w:t>
            </w:r>
          </w:p>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855"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r>
      <w:tr>
        <w:tblPrEx>
          <w:tblLayout w:type="fixed"/>
          <w:tblCellMar>
            <w:top w:w="15" w:type="dxa"/>
            <w:left w:w="15" w:type="dxa"/>
            <w:bottom w:w="15" w:type="dxa"/>
            <w:right w:w="15" w:type="dxa"/>
          </w:tblCellMar>
        </w:tblPrEx>
        <w:trPr>
          <w:trHeight w:val="435" w:hRule="atLeast"/>
          <w:jc w:val="center"/>
        </w:trPr>
        <w:tc>
          <w:tcPr>
            <w:tcW w:w="1080" w:type="dxa"/>
            <w:vMerge w:val="continue"/>
            <w:tcBorders>
              <w:top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5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全  国</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384255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553977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2.1</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全  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8287.54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3.6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12635.45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3.8</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r>
      <w:tr>
        <w:tblPrEx>
          <w:tblLayout w:type="fixed"/>
          <w:tblCellMar>
            <w:top w:w="15" w:type="dxa"/>
            <w:left w:w="15" w:type="dxa"/>
            <w:bottom w:w="15" w:type="dxa"/>
            <w:right w:w="15" w:type="dxa"/>
          </w:tblCellMar>
        </w:tblPrEx>
        <w:trPr>
          <w:trHeight w:val="375"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玉溪市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864.29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-0.6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986.59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4.4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 xml:space="preserve"> 红塔区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525.91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1.3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344.14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4.2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 </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 xml:space="preserve"> 江川区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44.95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4.4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74.43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3.8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 </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eastAsia="zh-CN"/>
              </w:rPr>
            </w:pPr>
            <w:r>
              <w:rPr>
                <w:rFonts w:hint="default" w:ascii="Times New Roman" w:hAnsi="Times New Roman" w:eastAsia="方正仿宋_GBK" w:cs="Times New Roman"/>
                <w:color w:val="000000"/>
                <w:kern w:val="0"/>
                <w:sz w:val="22"/>
                <w:szCs w:val="22"/>
                <w:highlight w:val="none"/>
              </w:rPr>
              <w:t xml:space="preserve"> </w:t>
            </w:r>
            <w:r>
              <w:rPr>
                <w:rFonts w:hint="default" w:ascii="Times New Roman" w:hAnsi="Times New Roman" w:eastAsia="方正仿宋_GBK" w:cs="Times New Roman"/>
                <w:color w:val="000000"/>
                <w:kern w:val="0"/>
                <w:sz w:val="22"/>
                <w:szCs w:val="22"/>
                <w:highlight w:val="none"/>
                <w:lang w:eastAsia="zh-CN"/>
              </w:rPr>
              <w:t>澄江市</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27.26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-14.2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100.10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3.1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 </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 xml:space="preserve"> 通海县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42.71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5.4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103.40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5.3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 xml:space="preserve"> 华宁县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22.01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-3.9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71.06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3.9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 xml:space="preserve"> 易门县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47.51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-20.6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69.48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8.3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 </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 xml:space="preserve"> 峨山县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31.97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-1.5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68.06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2.3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 </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 xml:space="preserve"> 新平县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87.93 </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3.8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96.41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5.7 </w:t>
            </w:r>
          </w:p>
        </w:tc>
        <w:tc>
          <w:tcPr>
            <w:tcW w:w="855"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 </w:t>
            </w:r>
          </w:p>
        </w:tc>
      </w:tr>
      <w:tr>
        <w:tblPrEx>
          <w:tblLayout w:type="fixed"/>
          <w:tblCellMar>
            <w:top w:w="15" w:type="dxa"/>
            <w:left w:w="15" w:type="dxa"/>
            <w:bottom w:w="15" w:type="dxa"/>
            <w:right w:w="15" w:type="dxa"/>
          </w:tblCellMar>
        </w:tblPrEx>
        <w:trPr>
          <w:trHeight w:val="340" w:hRule="exact"/>
          <w:jc w:val="center"/>
        </w:trPr>
        <w:tc>
          <w:tcPr>
            <w:tcW w:w="1080" w:type="dxa"/>
            <w:tcBorders>
              <w:top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 xml:space="preserve"> 元江县</w:t>
            </w:r>
          </w:p>
        </w:tc>
        <w:tc>
          <w:tcPr>
            <w:tcW w:w="1125" w:type="dxa"/>
            <w:tcBorders>
              <w:top w:val="single" w:color="000000" w:sz="4" w:space="0"/>
              <w:left w:val="single" w:color="000000" w:sz="4" w:space="0"/>
              <w:bottom w:val="single" w:color="000000" w:sz="12"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33.60 </w:t>
            </w:r>
          </w:p>
        </w:tc>
        <w:tc>
          <w:tcPr>
            <w:tcW w:w="81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 </w:t>
            </w:r>
          </w:p>
        </w:tc>
        <w:tc>
          <w:tcPr>
            <w:tcW w:w="114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-3.9 </w:t>
            </w:r>
          </w:p>
        </w:tc>
        <w:tc>
          <w:tcPr>
            <w:tcW w:w="87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 </w:t>
            </w:r>
          </w:p>
        </w:tc>
        <w:tc>
          <w:tcPr>
            <w:tcW w:w="1335" w:type="dxa"/>
            <w:tcBorders>
              <w:top w:val="single" w:color="000000" w:sz="4" w:space="0"/>
              <w:left w:val="single" w:color="000000" w:sz="4" w:space="0"/>
              <w:bottom w:val="single" w:color="000000" w:sz="12"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59.35 </w:t>
            </w:r>
          </w:p>
        </w:tc>
        <w:tc>
          <w:tcPr>
            <w:tcW w:w="93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 </w:t>
            </w:r>
          </w:p>
        </w:tc>
        <w:tc>
          <w:tcPr>
            <w:tcW w:w="117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3.8 </w:t>
            </w:r>
          </w:p>
        </w:tc>
        <w:tc>
          <w:tcPr>
            <w:tcW w:w="855" w:type="dxa"/>
            <w:tcBorders>
              <w:top w:val="single" w:color="000000" w:sz="4" w:space="0"/>
              <w:left w:val="single" w:color="000000" w:sz="4" w:space="0"/>
              <w:bottom w:val="single" w:color="000000" w:sz="12"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 </w:t>
            </w:r>
          </w:p>
        </w:tc>
      </w:tr>
    </w:tbl>
    <w:p>
      <w:pPr>
        <w:spacing w:line="540" w:lineRule="exact"/>
        <w:rPr>
          <w:rFonts w:hint="default" w:ascii="Times New Roman" w:hAnsi="Times New Roman" w:eastAsia="黑体" w:cs="Times New Roman"/>
          <w:kern w:val="0"/>
          <w:sz w:val="28"/>
          <w:szCs w:val="28"/>
          <w:highlight w:val="none"/>
        </w:rPr>
      </w:pPr>
      <w:r>
        <w:rPr>
          <w:rFonts w:hint="default" w:ascii="Times New Roman" w:hAnsi="Times New Roman" w:eastAsia="方正仿宋_GBK" w:cs="Times New Roman"/>
          <w:kern w:val="0"/>
          <w:sz w:val="24"/>
          <w:szCs w:val="24"/>
          <w:highlight w:val="none"/>
        </w:rPr>
        <w:t>注：增加值增速按可比价计算。</w:t>
      </w:r>
    </w:p>
    <w:p>
      <w:pPr>
        <w:spacing w:line="540" w:lineRule="exact"/>
        <w:jc w:val="center"/>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主要指标完成情况（三）</w:t>
      </w:r>
    </w:p>
    <w:tbl>
      <w:tblPr>
        <w:tblStyle w:val="6"/>
        <w:tblW w:w="9457" w:type="dxa"/>
        <w:jc w:val="center"/>
        <w:tblInd w:w="0" w:type="dxa"/>
        <w:tblLayout w:type="fixed"/>
        <w:tblCellMar>
          <w:top w:w="15" w:type="dxa"/>
          <w:left w:w="15" w:type="dxa"/>
          <w:bottom w:w="15" w:type="dxa"/>
          <w:right w:w="15" w:type="dxa"/>
        </w:tblCellMar>
      </w:tblPr>
      <w:tblGrid>
        <w:gridCol w:w="1192"/>
        <w:gridCol w:w="1095"/>
        <w:gridCol w:w="825"/>
        <w:gridCol w:w="1140"/>
        <w:gridCol w:w="885"/>
        <w:gridCol w:w="1350"/>
        <w:gridCol w:w="897"/>
        <w:gridCol w:w="1173"/>
        <w:gridCol w:w="900"/>
      </w:tblGrid>
      <w:tr>
        <w:tblPrEx>
          <w:tblLayout w:type="fixed"/>
          <w:tblCellMar>
            <w:top w:w="15" w:type="dxa"/>
            <w:left w:w="15" w:type="dxa"/>
            <w:bottom w:w="15" w:type="dxa"/>
            <w:right w:w="15" w:type="dxa"/>
          </w:tblCellMar>
        </w:tblPrEx>
        <w:trPr>
          <w:trHeight w:val="285" w:hRule="atLeast"/>
          <w:jc w:val="center"/>
        </w:trPr>
        <w:tc>
          <w:tcPr>
            <w:tcW w:w="1192" w:type="dxa"/>
            <w:vMerge w:val="restart"/>
            <w:tcBorders>
              <w:top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地  区</w:t>
            </w:r>
          </w:p>
        </w:tc>
        <w:tc>
          <w:tcPr>
            <w:tcW w:w="3945" w:type="dxa"/>
            <w:gridSpan w:val="4"/>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全部工业增加值</w:t>
            </w:r>
          </w:p>
        </w:tc>
        <w:tc>
          <w:tcPr>
            <w:tcW w:w="2247" w:type="dxa"/>
            <w:gridSpan w:val="2"/>
            <w:tcBorders>
              <w:top w:val="single" w:color="000000" w:sz="12"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规模以上工业增加值</w:t>
            </w:r>
          </w:p>
        </w:tc>
        <w:tc>
          <w:tcPr>
            <w:tcW w:w="2073" w:type="dxa"/>
            <w:gridSpan w:val="2"/>
            <w:tcBorders>
              <w:top w:val="single" w:color="000000" w:sz="12" w:space="0"/>
              <w:left w:val="single" w:color="000000" w:sz="8" w:space="0"/>
              <w:bottom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固定资产投资</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sz w:val="22"/>
                <w:szCs w:val="22"/>
                <w:highlight w:val="none"/>
                <w:lang w:eastAsia="zh-CN"/>
              </w:rPr>
            </w:pPr>
            <w:r>
              <w:rPr>
                <w:rFonts w:hint="default" w:ascii="Times New Roman" w:hAnsi="Times New Roman" w:eastAsia="方正仿宋_GBK" w:cs="Times New Roman"/>
                <w:color w:val="000000"/>
                <w:kern w:val="0"/>
                <w:sz w:val="22"/>
                <w:szCs w:val="22"/>
                <w:highlight w:val="none"/>
                <w:lang w:eastAsia="zh-CN"/>
              </w:rPr>
              <w:t>（不含农户）</w:t>
            </w:r>
          </w:p>
        </w:tc>
      </w:tr>
      <w:tr>
        <w:tblPrEx>
          <w:tblLayout w:type="fixed"/>
          <w:tblCellMar>
            <w:top w:w="15" w:type="dxa"/>
            <w:left w:w="15" w:type="dxa"/>
            <w:bottom w:w="15" w:type="dxa"/>
            <w:right w:w="15" w:type="dxa"/>
          </w:tblCellMar>
        </w:tblPrEx>
        <w:trPr>
          <w:trHeight w:val="435" w:hRule="atLeast"/>
          <w:jc w:val="center"/>
        </w:trPr>
        <w:tc>
          <w:tcPr>
            <w:tcW w:w="1192" w:type="dxa"/>
            <w:vMerge w:val="continue"/>
            <w:tcBorders>
              <w:top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绝对数</w:t>
            </w:r>
            <w:r>
              <w:rPr>
                <w:rFonts w:hint="default" w:ascii="Times New Roman" w:hAnsi="Times New Roman" w:eastAsia="方正仿宋_GBK" w:cs="Times New Roman"/>
                <w:color w:val="000000"/>
                <w:kern w:val="0"/>
                <w:sz w:val="22"/>
                <w:szCs w:val="22"/>
                <w:highlight w:val="none"/>
              </w:rPr>
              <w:br w:type="textWrapping"/>
            </w:r>
            <w:r>
              <w:rPr>
                <w:rFonts w:hint="default" w:ascii="Times New Roman" w:hAnsi="Times New Roman" w:eastAsia="方正仿宋_GBK" w:cs="Times New Roman"/>
                <w:color w:val="000000"/>
                <w:kern w:val="0"/>
                <w:sz w:val="22"/>
                <w:szCs w:val="22"/>
                <w:highlight w:val="none"/>
              </w:rPr>
              <w:t>（亿元）</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增速</w:t>
            </w:r>
          </w:p>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增速</w:t>
            </w:r>
          </w:p>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897" w:type="dxa"/>
            <w:vMerge w:val="restart"/>
            <w:tcBorders>
              <w:top w:val="single" w:color="000000" w:sz="4" w:space="0"/>
              <w:left w:val="single" w:color="000000" w:sz="4" w:space="0"/>
              <w:bottom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增速</w:t>
            </w:r>
          </w:p>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900" w:type="dxa"/>
            <w:vMerge w:val="restart"/>
            <w:tcBorders>
              <w:top w:val="single" w:color="000000" w:sz="4" w:space="0"/>
              <w:left w:val="single" w:color="000000" w:sz="4" w:space="0"/>
              <w:bottom w:val="single" w:color="000000" w:sz="4" w:space="0"/>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r>
      <w:tr>
        <w:tblPrEx>
          <w:tblLayout w:type="fixed"/>
          <w:tblCellMar>
            <w:top w:w="15" w:type="dxa"/>
            <w:left w:w="15" w:type="dxa"/>
            <w:bottom w:w="15" w:type="dxa"/>
            <w:right w:w="15" w:type="dxa"/>
          </w:tblCellMar>
        </w:tblPrEx>
        <w:trPr>
          <w:trHeight w:val="435" w:hRule="atLeast"/>
          <w:jc w:val="center"/>
        </w:trPr>
        <w:tc>
          <w:tcPr>
            <w:tcW w:w="1192" w:type="dxa"/>
            <w:vMerge w:val="continue"/>
            <w:tcBorders>
              <w:top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97"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900"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全  国</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313071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2.8</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2.9</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全  省</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5457.96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2.4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2.4</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7.7</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玉溪市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736.91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-0.3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-0.3</w:t>
            </w:r>
          </w:p>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-1.5</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红塔区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504.38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1.7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1.8</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-8.1</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 </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江川区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27.54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6.1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8.6</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-22.4</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 </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eastAsia="zh-CN"/>
              </w:rPr>
            </w:pPr>
            <w:r>
              <w:rPr>
                <w:rFonts w:hint="default" w:ascii="Times New Roman" w:hAnsi="Times New Roman" w:eastAsia="方正仿宋_GBK" w:cs="Times New Roman"/>
                <w:color w:val="000000"/>
                <w:kern w:val="0"/>
                <w:sz w:val="22"/>
                <w:szCs w:val="22"/>
                <w:highlight w:val="none"/>
                <w:lang w:eastAsia="zh-CN"/>
              </w:rPr>
              <w:t>澄江市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12.23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-0.2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0.1</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19.4</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 </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通海县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33.41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7.7</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5.0</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华宁县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17.68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6.9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10.9</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2.2</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易门县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37.04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-24.5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-26.2</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-13.3</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 </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峨山县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18.55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-11.3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-19.5</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3.4</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 </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新平县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68.42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1.4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1.4</w:t>
            </w:r>
          </w:p>
        </w:tc>
        <w:tc>
          <w:tcPr>
            <w:tcW w:w="897"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21.8</w:t>
            </w:r>
          </w:p>
        </w:tc>
        <w:tc>
          <w:tcPr>
            <w:tcW w:w="900" w:type="dxa"/>
            <w:tcBorders>
              <w:top w:val="single" w:color="000000" w:sz="4" w:space="0"/>
              <w:left w:val="single" w:color="000000" w:sz="4" w:space="0"/>
              <w:bottom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 </w:t>
            </w:r>
          </w:p>
        </w:tc>
      </w:tr>
      <w:tr>
        <w:tblPrEx>
          <w:tblLayout w:type="fixed"/>
          <w:tblCellMar>
            <w:top w:w="15" w:type="dxa"/>
            <w:left w:w="15" w:type="dxa"/>
            <w:bottom w:w="15" w:type="dxa"/>
            <w:right w:w="15" w:type="dxa"/>
          </w:tblCellMar>
        </w:tblPrEx>
        <w:trPr>
          <w:trHeight w:val="340" w:hRule="exact"/>
          <w:jc w:val="center"/>
        </w:trPr>
        <w:tc>
          <w:tcPr>
            <w:tcW w:w="1192" w:type="dxa"/>
            <w:tcBorders>
              <w:top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元江县</w:t>
            </w:r>
          </w:p>
        </w:tc>
        <w:tc>
          <w:tcPr>
            <w:tcW w:w="1095" w:type="dxa"/>
            <w:tcBorders>
              <w:top w:val="single" w:color="000000" w:sz="4" w:space="0"/>
              <w:left w:val="single" w:color="000000" w:sz="4" w:space="0"/>
              <w:bottom w:val="single" w:color="000000" w:sz="12" w:space="0"/>
              <w:right w:val="single" w:color="000000" w:sz="4" w:space="0"/>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17.23 </w:t>
            </w:r>
          </w:p>
        </w:tc>
        <w:tc>
          <w:tcPr>
            <w:tcW w:w="82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 </w:t>
            </w:r>
          </w:p>
        </w:tc>
        <w:tc>
          <w:tcPr>
            <w:tcW w:w="114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-10.1 </w:t>
            </w:r>
          </w:p>
        </w:tc>
        <w:tc>
          <w:tcPr>
            <w:tcW w:w="885"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 </w:t>
            </w:r>
          </w:p>
        </w:tc>
        <w:tc>
          <w:tcPr>
            <w:tcW w:w="135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-17.5</w:t>
            </w:r>
          </w:p>
        </w:tc>
        <w:tc>
          <w:tcPr>
            <w:tcW w:w="897" w:type="dxa"/>
            <w:tcBorders>
              <w:top w:val="single" w:color="000000" w:sz="4" w:space="0"/>
              <w:left w:val="single" w:color="000000" w:sz="4" w:space="0"/>
              <w:bottom w:val="single" w:color="000000" w:sz="12"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 </w:t>
            </w:r>
          </w:p>
        </w:tc>
        <w:tc>
          <w:tcPr>
            <w:tcW w:w="1173"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-16.6</w:t>
            </w:r>
          </w:p>
        </w:tc>
        <w:tc>
          <w:tcPr>
            <w:tcW w:w="900" w:type="dxa"/>
            <w:tcBorders>
              <w:top w:val="single" w:color="000000" w:sz="4" w:space="0"/>
              <w:left w:val="single" w:color="000000" w:sz="4" w:space="0"/>
              <w:bottom w:val="single" w:color="000000" w:sz="12" w:space="0"/>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 </w:t>
            </w:r>
          </w:p>
        </w:tc>
      </w:tr>
    </w:tbl>
    <w:p>
      <w:pPr>
        <w:spacing w:line="540" w:lineRule="exact"/>
        <w:jc w:val="center"/>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主要指标完成情况（四）</w:t>
      </w:r>
    </w:p>
    <w:tbl>
      <w:tblPr>
        <w:tblStyle w:val="6"/>
        <w:tblW w:w="9465" w:type="dxa"/>
        <w:tblInd w:w="-221"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
      <w:tblGrid>
        <w:gridCol w:w="1170"/>
        <w:gridCol w:w="1095"/>
        <w:gridCol w:w="855"/>
        <w:gridCol w:w="1140"/>
        <w:gridCol w:w="885"/>
        <w:gridCol w:w="1350"/>
        <w:gridCol w:w="885"/>
        <w:gridCol w:w="1200"/>
        <w:gridCol w:w="885"/>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85" w:hRule="atLeast"/>
        </w:trPr>
        <w:tc>
          <w:tcPr>
            <w:tcW w:w="1170"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地  区</w:t>
            </w:r>
          </w:p>
        </w:tc>
        <w:tc>
          <w:tcPr>
            <w:tcW w:w="3975" w:type="dxa"/>
            <w:gridSpan w:val="4"/>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建筑业增加值</w:t>
            </w:r>
          </w:p>
        </w:tc>
        <w:tc>
          <w:tcPr>
            <w:tcW w:w="4320" w:type="dxa"/>
            <w:gridSpan w:val="4"/>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社会消费品零售总额</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00" w:hRule="atLeast"/>
        </w:trPr>
        <w:tc>
          <w:tcPr>
            <w:tcW w:w="1170" w:type="dxa"/>
            <w:vMerge w:val="continue"/>
            <w:tcBorders>
              <w:tl2br w:val="nil"/>
              <w:tr2bl w:val="nil"/>
            </w:tcBorders>
            <w:shd w:val="clear" w:color="auto" w:fill="auto"/>
            <w:vAlign w:val="center"/>
          </w:tcPr>
          <w:p>
            <w:pPr>
              <w:widowControl/>
              <w:spacing w:line="300" w:lineRule="exact"/>
              <w:jc w:val="center"/>
              <w:rPr>
                <w:rFonts w:hint="default" w:ascii="Times New Roman" w:hAnsi="Times New Roman" w:eastAsia="方正仿宋_GBK" w:cs="Times New Roman"/>
                <w:color w:val="000000"/>
                <w:sz w:val="22"/>
                <w:szCs w:val="22"/>
                <w:highlight w:val="none"/>
              </w:rPr>
            </w:pPr>
          </w:p>
        </w:tc>
        <w:tc>
          <w:tcPr>
            <w:tcW w:w="1095"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绝对数</w:t>
            </w:r>
            <w:r>
              <w:rPr>
                <w:rFonts w:hint="default" w:ascii="Times New Roman" w:hAnsi="Times New Roman" w:eastAsia="方正仿宋_GBK" w:cs="Times New Roman"/>
                <w:color w:val="000000"/>
                <w:kern w:val="0"/>
                <w:sz w:val="22"/>
                <w:szCs w:val="22"/>
                <w:highlight w:val="none"/>
              </w:rPr>
              <w:br w:type="textWrapping"/>
            </w:r>
            <w:r>
              <w:rPr>
                <w:rFonts w:hint="default" w:ascii="Times New Roman" w:hAnsi="Times New Roman" w:eastAsia="方正仿宋_GBK" w:cs="Times New Roman"/>
                <w:color w:val="000000"/>
                <w:kern w:val="0"/>
                <w:sz w:val="22"/>
                <w:szCs w:val="22"/>
                <w:highlight w:val="none"/>
              </w:rPr>
              <w:t>（亿元）</w:t>
            </w:r>
          </w:p>
        </w:tc>
        <w:tc>
          <w:tcPr>
            <w:tcW w:w="855"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c>
          <w:tcPr>
            <w:tcW w:w="1140"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现价增速</w:t>
            </w:r>
          </w:p>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885"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c>
          <w:tcPr>
            <w:tcW w:w="1350"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绝对数</w:t>
            </w:r>
            <w:r>
              <w:rPr>
                <w:rFonts w:hint="default" w:ascii="Times New Roman" w:hAnsi="Times New Roman" w:eastAsia="方正仿宋_GBK" w:cs="Times New Roman"/>
                <w:color w:val="000000"/>
                <w:kern w:val="0"/>
                <w:sz w:val="22"/>
                <w:szCs w:val="22"/>
                <w:highlight w:val="none"/>
              </w:rPr>
              <w:br w:type="textWrapping"/>
            </w:r>
            <w:r>
              <w:rPr>
                <w:rFonts w:hint="default" w:ascii="Times New Roman" w:hAnsi="Times New Roman" w:eastAsia="方正仿宋_GBK" w:cs="Times New Roman"/>
                <w:color w:val="000000"/>
                <w:kern w:val="0"/>
                <w:sz w:val="22"/>
                <w:szCs w:val="22"/>
                <w:highlight w:val="none"/>
              </w:rPr>
              <w:t>（亿元）</w:t>
            </w:r>
          </w:p>
        </w:tc>
        <w:tc>
          <w:tcPr>
            <w:tcW w:w="885"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c>
          <w:tcPr>
            <w:tcW w:w="1200"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增速</w:t>
            </w:r>
          </w:p>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885"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435" w:hRule="atLeast"/>
        </w:trPr>
        <w:tc>
          <w:tcPr>
            <w:tcW w:w="1170"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095"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55"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140"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85"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350"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85"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200"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85"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全  国</w:t>
            </w:r>
          </w:p>
        </w:tc>
        <w:tc>
          <w:tcPr>
            <w:tcW w:w="109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72996</w:t>
            </w:r>
          </w:p>
        </w:tc>
        <w:tc>
          <w:tcPr>
            <w:tcW w:w="85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4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3.5</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35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391981</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20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-3.9</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全  省</w:t>
            </w:r>
          </w:p>
        </w:tc>
        <w:tc>
          <w:tcPr>
            <w:tcW w:w="109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2834.06</w:t>
            </w:r>
          </w:p>
        </w:tc>
        <w:tc>
          <w:tcPr>
            <w:tcW w:w="85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4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6.5</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35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9792.87</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20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-3.6</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玉溪市</w:t>
            </w:r>
          </w:p>
        </w:tc>
        <w:tc>
          <w:tcPr>
            <w:tcW w:w="1095" w:type="dxa"/>
            <w:tcBorders>
              <w:tl2br w:val="nil"/>
              <w:tr2bl w:val="nil"/>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127.91 </w:t>
            </w:r>
          </w:p>
        </w:tc>
        <w:tc>
          <w:tcPr>
            <w:tcW w:w="85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w:t>
            </w:r>
          </w:p>
        </w:tc>
        <w:tc>
          <w:tcPr>
            <w:tcW w:w="114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-2.8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w:t>
            </w:r>
          </w:p>
        </w:tc>
        <w:tc>
          <w:tcPr>
            <w:tcW w:w="135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790.29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w:t>
            </w:r>
          </w:p>
        </w:tc>
        <w:tc>
          <w:tcPr>
            <w:tcW w:w="120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-2.9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红塔区</w:t>
            </w:r>
          </w:p>
        </w:tc>
        <w:tc>
          <w:tcPr>
            <w:tcW w:w="1095" w:type="dxa"/>
            <w:tcBorders>
              <w:tl2br w:val="nil"/>
              <w:tr2bl w:val="nil"/>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21.61 </w:t>
            </w:r>
          </w:p>
        </w:tc>
        <w:tc>
          <w:tcPr>
            <w:tcW w:w="85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 </w:t>
            </w:r>
          </w:p>
        </w:tc>
        <w:tc>
          <w:tcPr>
            <w:tcW w:w="114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-10.2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 </w:t>
            </w:r>
          </w:p>
        </w:tc>
        <w:tc>
          <w:tcPr>
            <w:tcW w:w="135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274.42</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 </w:t>
            </w:r>
          </w:p>
        </w:tc>
        <w:tc>
          <w:tcPr>
            <w:tcW w:w="120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-3.1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江川区</w:t>
            </w:r>
          </w:p>
        </w:tc>
        <w:tc>
          <w:tcPr>
            <w:tcW w:w="1095" w:type="dxa"/>
            <w:tcBorders>
              <w:tl2br w:val="nil"/>
              <w:tr2bl w:val="nil"/>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17.42 </w:t>
            </w:r>
          </w:p>
        </w:tc>
        <w:tc>
          <w:tcPr>
            <w:tcW w:w="85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c>
          <w:tcPr>
            <w:tcW w:w="114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1.0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 </w:t>
            </w:r>
          </w:p>
        </w:tc>
        <w:tc>
          <w:tcPr>
            <w:tcW w:w="135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64.60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c>
          <w:tcPr>
            <w:tcW w:w="120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-2.9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eastAsia="zh-CN"/>
              </w:rPr>
            </w:pPr>
            <w:r>
              <w:rPr>
                <w:rFonts w:hint="default" w:ascii="Times New Roman" w:hAnsi="Times New Roman" w:eastAsia="方正仿宋_GBK" w:cs="Times New Roman"/>
                <w:color w:val="000000"/>
                <w:kern w:val="0"/>
                <w:sz w:val="22"/>
                <w:szCs w:val="22"/>
                <w:highlight w:val="none"/>
                <w:lang w:eastAsia="zh-CN"/>
              </w:rPr>
              <w:t>澄江市</w:t>
            </w:r>
          </w:p>
        </w:tc>
        <w:tc>
          <w:tcPr>
            <w:tcW w:w="1095" w:type="dxa"/>
            <w:tcBorders>
              <w:tl2br w:val="nil"/>
              <w:tr2bl w:val="nil"/>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15.33 </w:t>
            </w:r>
          </w:p>
        </w:tc>
        <w:tc>
          <w:tcPr>
            <w:tcW w:w="85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c>
          <w:tcPr>
            <w:tcW w:w="114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-25.6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 </w:t>
            </w:r>
          </w:p>
        </w:tc>
        <w:tc>
          <w:tcPr>
            <w:tcW w:w="135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92.64</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 </w:t>
            </w:r>
          </w:p>
        </w:tc>
        <w:tc>
          <w:tcPr>
            <w:tcW w:w="120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-2.7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通海县</w:t>
            </w:r>
          </w:p>
        </w:tc>
        <w:tc>
          <w:tcPr>
            <w:tcW w:w="1095" w:type="dxa"/>
            <w:tcBorders>
              <w:tl2br w:val="nil"/>
              <w:tr2bl w:val="nil"/>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9.36 </w:t>
            </w:r>
          </w:p>
        </w:tc>
        <w:tc>
          <w:tcPr>
            <w:tcW w:w="85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 </w:t>
            </w:r>
          </w:p>
        </w:tc>
        <w:tc>
          <w:tcPr>
            <w:tcW w:w="114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5.3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 </w:t>
            </w:r>
          </w:p>
        </w:tc>
        <w:tc>
          <w:tcPr>
            <w:tcW w:w="135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70.75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 </w:t>
            </w:r>
          </w:p>
        </w:tc>
        <w:tc>
          <w:tcPr>
            <w:tcW w:w="120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-3.1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华宁县</w:t>
            </w:r>
          </w:p>
        </w:tc>
        <w:tc>
          <w:tcPr>
            <w:tcW w:w="1095" w:type="dxa"/>
            <w:tcBorders>
              <w:tl2br w:val="nil"/>
              <w:tr2bl w:val="nil"/>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4.35 </w:t>
            </w:r>
          </w:p>
        </w:tc>
        <w:tc>
          <w:tcPr>
            <w:tcW w:w="85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 </w:t>
            </w:r>
          </w:p>
        </w:tc>
        <w:tc>
          <w:tcPr>
            <w:tcW w:w="114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-39.2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 </w:t>
            </w:r>
          </w:p>
        </w:tc>
        <w:tc>
          <w:tcPr>
            <w:tcW w:w="135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47.66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 </w:t>
            </w:r>
          </w:p>
        </w:tc>
        <w:tc>
          <w:tcPr>
            <w:tcW w:w="120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-3.0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易门县</w:t>
            </w:r>
          </w:p>
        </w:tc>
        <w:tc>
          <w:tcPr>
            <w:tcW w:w="1095" w:type="dxa"/>
            <w:tcBorders>
              <w:tl2br w:val="nil"/>
              <w:tr2bl w:val="nil"/>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10.48 </w:t>
            </w:r>
          </w:p>
        </w:tc>
        <w:tc>
          <w:tcPr>
            <w:tcW w:w="85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 </w:t>
            </w:r>
          </w:p>
        </w:tc>
        <w:tc>
          <w:tcPr>
            <w:tcW w:w="114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3.0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c>
          <w:tcPr>
            <w:tcW w:w="135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60.34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 </w:t>
            </w:r>
          </w:p>
        </w:tc>
        <w:tc>
          <w:tcPr>
            <w:tcW w:w="120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-3.2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峨山县</w:t>
            </w:r>
          </w:p>
        </w:tc>
        <w:tc>
          <w:tcPr>
            <w:tcW w:w="1095" w:type="dxa"/>
            <w:tcBorders>
              <w:tl2br w:val="nil"/>
              <w:tr2bl w:val="nil"/>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13.42 </w:t>
            </w:r>
          </w:p>
        </w:tc>
        <w:tc>
          <w:tcPr>
            <w:tcW w:w="85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 </w:t>
            </w:r>
          </w:p>
        </w:tc>
        <w:tc>
          <w:tcPr>
            <w:tcW w:w="114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21.9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 </w:t>
            </w:r>
          </w:p>
        </w:tc>
        <w:tc>
          <w:tcPr>
            <w:tcW w:w="135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50.45</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 </w:t>
            </w:r>
          </w:p>
        </w:tc>
        <w:tc>
          <w:tcPr>
            <w:tcW w:w="120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-2.5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新平县</w:t>
            </w:r>
          </w:p>
        </w:tc>
        <w:tc>
          <w:tcPr>
            <w:tcW w:w="1095" w:type="dxa"/>
            <w:tcBorders>
              <w:tl2br w:val="nil"/>
              <w:tr2bl w:val="nil"/>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19.55 </w:t>
            </w:r>
          </w:p>
        </w:tc>
        <w:tc>
          <w:tcPr>
            <w:tcW w:w="85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 </w:t>
            </w:r>
          </w:p>
        </w:tc>
        <w:tc>
          <w:tcPr>
            <w:tcW w:w="114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14.8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 </w:t>
            </w:r>
          </w:p>
        </w:tc>
        <w:tc>
          <w:tcPr>
            <w:tcW w:w="135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78.60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c>
          <w:tcPr>
            <w:tcW w:w="120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-2.6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340" w:hRule="exac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元江县</w:t>
            </w:r>
          </w:p>
        </w:tc>
        <w:tc>
          <w:tcPr>
            <w:tcW w:w="1095" w:type="dxa"/>
            <w:tcBorders>
              <w:tl2br w:val="nil"/>
              <w:tr2bl w:val="nil"/>
            </w:tcBorders>
            <w:shd w:val="clear" w:color="auto" w:fill="auto"/>
            <w:vAlign w:val="bottom"/>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16.39 </w:t>
            </w:r>
          </w:p>
        </w:tc>
        <w:tc>
          <w:tcPr>
            <w:tcW w:w="85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 </w:t>
            </w:r>
          </w:p>
        </w:tc>
        <w:tc>
          <w:tcPr>
            <w:tcW w:w="114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6.2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c>
          <w:tcPr>
            <w:tcW w:w="135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50.83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 </w:t>
            </w:r>
          </w:p>
        </w:tc>
        <w:tc>
          <w:tcPr>
            <w:tcW w:w="120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-2.9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r>
    </w:tbl>
    <w:p>
      <w:pPr>
        <w:spacing w:line="540" w:lineRule="exact"/>
        <w:rPr>
          <w:rFonts w:hint="default" w:ascii="Times New Roman" w:hAnsi="Times New Roman" w:eastAsia="黑体" w:cs="Times New Roman"/>
          <w:kern w:val="0"/>
          <w:sz w:val="28"/>
          <w:szCs w:val="28"/>
          <w:highlight w:val="none"/>
        </w:rPr>
      </w:pPr>
      <w:r>
        <w:rPr>
          <w:rFonts w:hint="default" w:ascii="Times New Roman" w:hAnsi="Times New Roman" w:eastAsia="方正仿宋_GBK" w:cs="Times New Roman"/>
          <w:kern w:val="0"/>
          <w:sz w:val="24"/>
          <w:szCs w:val="24"/>
          <w:highlight w:val="none"/>
        </w:rPr>
        <w:t>注：增加值增速按可比价计算。</w:t>
      </w:r>
    </w:p>
    <w:p>
      <w:pPr>
        <w:spacing w:line="540" w:lineRule="exact"/>
        <w:jc w:val="center"/>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kern w:val="0"/>
          <w:sz w:val="28"/>
          <w:szCs w:val="28"/>
          <w:highlight w:val="none"/>
        </w:rPr>
        <w:t>主要指标完成情况（五）</w:t>
      </w:r>
    </w:p>
    <w:tbl>
      <w:tblPr>
        <w:tblStyle w:val="6"/>
        <w:tblW w:w="9435" w:type="dxa"/>
        <w:tblInd w:w="-207" w:type="dxa"/>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
      <w:tblGrid>
        <w:gridCol w:w="1170"/>
        <w:gridCol w:w="1095"/>
        <w:gridCol w:w="825"/>
        <w:gridCol w:w="1170"/>
        <w:gridCol w:w="885"/>
        <w:gridCol w:w="1365"/>
        <w:gridCol w:w="870"/>
        <w:gridCol w:w="1185"/>
        <w:gridCol w:w="870"/>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vMerge w:val="restart"/>
            <w:tcBorders>
              <w:tl2br w:val="nil"/>
              <w:tr2bl w:val="nil"/>
            </w:tcBorders>
            <w:shd w:val="clear" w:color="auto" w:fill="auto"/>
            <w:vAlign w:val="center"/>
          </w:tcPr>
          <w:p>
            <w:pPr>
              <w:widowControl/>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地  区</w:t>
            </w:r>
          </w:p>
        </w:tc>
        <w:tc>
          <w:tcPr>
            <w:tcW w:w="3975" w:type="dxa"/>
            <w:gridSpan w:val="4"/>
            <w:tcBorders>
              <w:tl2br w:val="nil"/>
              <w:tr2bl w:val="nil"/>
            </w:tcBorders>
            <w:shd w:val="clear" w:color="auto" w:fill="auto"/>
            <w:vAlign w:val="center"/>
          </w:tcPr>
          <w:p>
            <w:pPr>
              <w:widowControl/>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lang w:eastAsia="zh-CN"/>
              </w:rPr>
              <w:t>城镇</w:t>
            </w:r>
            <w:r>
              <w:rPr>
                <w:rFonts w:hint="default" w:ascii="Times New Roman" w:hAnsi="Times New Roman" w:eastAsia="方正仿宋_GBK" w:cs="Times New Roman"/>
                <w:color w:val="000000"/>
                <w:kern w:val="0"/>
                <w:sz w:val="22"/>
                <w:szCs w:val="22"/>
                <w:highlight w:val="none"/>
              </w:rPr>
              <w:t>居民人均可支配收入</w:t>
            </w:r>
          </w:p>
        </w:tc>
        <w:tc>
          <w:tcPr>
            <w:tcW w:w="4290" w:type="dxa"/>
            <w:gridSpan w:val="4"/>
            <w:tcBorders>
              <w:tl2br w:val="nil"/>
              <w:tr2bl w:val="nil"/>
            </w:tcBorders>
            <w:shd w:val="clear" w:color="auto" w:fill="auto"/>
            <w:vAlign w:val="center"/>
          </w:tcPr>
          <w:p>
            <w:pPr>
              <w:widowControl/>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lang w:eastAsia="zh-CN"/>
              </w:rPr>
              <w:t>农村</w:t>
            </w:r>
            <w:r>
              <w:rPr>
                <w:rFonts w:hint="default" w:ascii="Times New Roman" w:hAnsi="Times New Roman" w:eastAsia="方正仿宋_GBK" w:cs="Times New Roman"/>
                <w:color w:val="000000"/>
                <w:kern w:val="0"/>
                <w:sz w:val="22"/>
                <w:szCs w:val="22"/>
                <w:highlight w:val="none"/>
              </w:rPr>
              <w:t>居民人均可支配收入</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435" w:hRule="atLeast"/>
        </w:trPr>
        <w:tc>
          <w:tcPr>
            <w:tcW w:w="1170"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095"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绝对数</w:t>
            </w:r>
            <w:r>
              <w:rPr>
                <w:rFonts w:hint="default" w:ascii="Times New Roman" w:hAnsi="Times New Roman" w:eastAsia="方正仿宋_GBK" w:cs="Times New Roman"/>
                <w:color w:val="000000"/>
                <w:kern w:val="0"/>
                <w:sz w:val="22"/>
                <w:szCs w:val="22"/>
                <w:highlight w:val="none"/>
              </w:rPr>
              <w:br w:type="textWrapping"/>
            </w:r>
            <w:r>
              <w:rPr>
                <w:rFonts w:hint="default" w:ascii="Times New Roman" w:hAnsi="Times New Roman" w:eastAsia="方正仿宋_GBK" w:cs="Times New Roman"/>
                <w:color w:val="000000"/>
                <w:kern w:val="0"/>
                <w:sz w:val="22"/>
                <w:szCs w:val="22"/>
                <w:highlight w:val="none"/>
              </w:rPr>
              <w:t>（元）</w:t>
            </w:r>
          </w:p>
        </w:tc>
        <w:tc>
          <w:tcPr>
            <w:tcW w:w="825"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c>
          <w:tcPr>
            <w:tcW w:w="1170"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增速</w:t>
            </w:r>
          </w:p>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885"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c>
          <w:tcPr>
            <w:tcW w:w="1365"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绝对数</w:t>
            </w:r>
            <w:r>
              <w:rPr>
                <w:rFonts w:hint="default" w:ascii="Times New Roman" w:hAnsi="Times New Roman" w:eastAsia="方正仿宋_GBK" w:cs="Times New Roman"/>
                <w:color w:val="000000"/>
                <w:kern w:val="0"/>
                <w:sz w:val="22"/>
                <w:szCs w:val="22"/>
                <w:highlight w:val="none"/>
              </w:rPr>
              <w:br w:type="textWrapping"/>
            </w:r>
            <w:r>
              <w:rPr>
                <w:rFonts w:hint="default" w:ascii="Times New Roman" w:hAnsi="Times New Roman" w:eastAsia="方正仿宋_GBK" w:cs="Times New Roman"/>
                <w:color w:val="000000"/>
                <w:kern w:val="0"/>
                <w:sz w:val="22"/>
                <w:szCs w:val="22"/>
                <w:highlight w:val="none"/>
              </w:rPr>
              <w:t>（元）</w:t>
            </w:r>
          </w:p>
        </w:tc>
        <w:tc>
          <w:tcPr>
            <w:tcW w:w="870"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c>
          <w:tcPr>
            <w:tcW w:w="1185"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增速</w:t>
            </w:r>
          </w:p>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870" w:type="dxa"/>
            <w:vMerge w:val="restart"/>
            <w:tcBorders>
              <w:tl2br w:val="nil"/>
              <w:tr2bl w:val="nil"/>
            </w:tcBorders>
            <w:shd w:val="clear" w:color="auto" w:fill="auto"/>
            <w:vAlign w:val="center"/>
          </w:tcPr>
          <w:p>
            <w:pPr>
              <w:widowControl/>
              <w:spacing w:line="30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位次</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435" w:hRule="atLeast"/>
        </w:trPr>
        <w:tc>
          <w:tcPr>
            <w:tcW w:w="1170"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095"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25"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170"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85"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365"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70"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1185"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c>
          <w:tcPr>
            <w:tcW w:w="870" w:type="dxa"/>
            <w:vMerge w:val="continue"/>
            <w:tcBorders>
              <w:tl2br w:val="nil"/>
              <w:tr2bl w:val="nil"/>
            </w:tcBorders>
            <w:shd w:val="clear" w:color="auto" w:fill="auto"/>
            <w:vAlign w:val="center"/>
          </w:tcPr>
          <w:p>
            <w:pPr>
              <w:jc w:val="center"/>
              <w:rPr>
                <w:rFonts w:hint="default" w:ascii="Times New Roman" w:hAnsi="Times New Roman" w:eastAsia="方正仿宋_GBK" w:cs="Times New Roman"/>
                <w:color w:val="000000"/>
                <w:sz w:val="22"/>
                <w:szCs w:val="22"/>
                <w:highlight w:val="none"/>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全  国</w:t>
            </w:r>
          </w:p>
        </w:tc>
        <w:tc>
          <w:tcPr>
            <w:tcW w:w="109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43834</w:t>
            </w:r>
          </w:p>
        </w:tc>
        <w:tc>
          <w:tcPr>
            <w:tcW w:w="82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3.5</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36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17131</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6.9</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全  省</w:t>
            </w:r>
          </w:p>
        </w:tc>
        <w:tc>
          <w:tcPr>
            <w:tcW w:w="109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37500</w:t>
            </w:r>
          </w:p>
        </w:tc>
        <w:tc>
          <w:tcPr>
            <w:tcW w:w="82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3.5</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36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12842</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c>
          <w:tcPr>
            <w:tcW w:w="11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7.9</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rPr>
            </w:pPr>
            <w:r>
              <w:rPr>
                <w:rFonts w:hint="default" w:ascii="Times New Roman" w:hAnsi="Times New Roman" w:eastAsia="方正仿宋_GBK" w:cs="Times New Roman"/>
                <w:color w:val="000000"/>
                <w:kern w:val="0"/>
                <w:sz w:val="22"/>
                <w:szCs w:val="22"/>
                <w:highlight w:val="none"/>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玉溪市</w:t>
            </w:r>
          </w:p>
        </w:tc>
        <w:tc>
          <w:tcPr>
            <w:tcW w:w="109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42125 </w:t>
            </w:r>
          </w:p>
        </w:tc>
        <w:tc>
          <w:tcPr>
            <w:tcW w:w="82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w:t>
            </w:r>
          </w:p>
        </w:tc>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3.5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w:t>
            </w:r>
          </w:p>
        </w:tc>
        <w:tc>
          <w:tcPr>
            <w:tcW w:w="136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16835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w:t>
            </w:r>
          </w:p>
        </w:tc>
        <w:tc>
          <w:tcPr>
            <w:tcW w:w="11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7.1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 xml:space="preserve"> 红塔区</w:t>
            </w:r>
          </w:p>
        </w:tc>
        <w:tc>
          <w:tcPr>
            <w:tcW w:w="109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43672 </w:t>
            </w:r>
          </w:p>
        </w:tc>
        <w:tc>
          <w:tcPr>
            <w:tcW w:w="82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 </w:t>
            </w:r>
          </w:p>
        </w:tc>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3.6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c>
          <w:tcPr>
            <w:tcW w:w="136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19988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 </w:t>
            </w:r>
          </w:p>
        </w:tc>
        <w:tc>
          <w:tcPr>
            <w:tcW w:w="11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6.7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 xml:space="preserve"> 江川区</w:t>
            </w:r>
          </w:p>
        </w:tc>
        <w:tc>
          <w:tcPr>
            <w:tcW w:w="109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41158 </w:t>
            </w:r>
          </w:p>
        </w:tc>
        <w:tc>
          <w:tcPr>
            <w:tcW w:w="82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 </w:t>
            </w:r>
          </w:p>
        </w:tc>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3.5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c>
          <w:tcPr>
            <w:tcW w:w="136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15701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 </w:t>
            </w:r>
          </w:p>
        </w:tc>
        <w:tc>
          <w:tcPr>
            <w:tcW w:w="11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6.9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lang w:eastAsia="zh-CN"/>
              </w:rPr>
            </w:pPr>
            <w:r>
              <w:rPr>
                <w:rFonts w:hint="default" w:ascii="Times New Roman" w:hAnsi="Times New Roman" w:eastAsia="方正仿宋_GBK" w:cs="Times New Roman"/>
                <w:color w:val="000000"/>
                <w:kern w:val="0"/>
                <w:sz w:val="22"/>
                <w:szCs w:val="22"/>
                <w:highlight w:val="none"/>
              </w:rPr>
              <w:t xml:space="preserve"> </w:t>
            </w:r>
            <w:r>
              <w:rPr>
                <w:rFonts w:hint="default" w:ascii="Times New Roman" w:hAnsi="Times New Roman" w:eastAsia="方正仿宋_GBK" w:cs="Times New Roman"/>
                <w:color w:val="000000"/>
                <w:kern w:val="0"/>
                <w:sz w:val="22"/>
                <w:szCs w:val="22"/>
                <w:highlight w:val="none"/>
                <w:lang w:eastAsia="zh-CN"/>
              </w:rPr>
              <w:t>澄江市</w:t>
            </w:r>
          </w:p>
        </w:tc>
        <w:tc>
          <w:tcPr>
            <w:tcW w:w="109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42741 </w:t>
            </w:r>
          </w:p>
        </w:tc>
        <w:tc>
          <w:tcPr>
            <w:tcW w:w="82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 </w:t>
            </w:r>
          </w:p>
        </w:tc>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3.4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 </w:t>
            </w:r>
          </w:p>
        </w:tc>
        <w:tc>
          <w:tcPr>
            <w:tcW w:w="136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17966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c>
          <w:tcPr>
            <w:tcW w:w="11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7.1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 xml:space="preserve"> 通海县</w:t>
            </w:r>
          </w:p>
        </w:tc>
        <w:tc>
          <w:tcPr>
            <w:tcW w:w="109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42267 </w:t>
            </w:r>
          </w:p>
        </w:tc>
        <w:tc>
          <w:tcPr>
            <w:tcW w:w="82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 </w:t>
            </w:r>
          </w:p>
        </w:tc>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3.8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 </w:t>
            </w:r>
          </w:p>
        </w:tc>
        <w:tc>
          <w:tcPr>
            <w:tcW w:w="136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19397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 </w:t>
            </w:r>
          </w:p>
        </w:tc>
        <w:tc>
          <w:tcPr>
            <w:tcW w:w="11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6.8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 xml:space="preserve"> 华宁县</w:t>
            </w:r>
          </w:p>
        </w:tc>
        <w:tc>
          <w:tcPr>
            <w:tcW w:w="109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41371 </w:t>
            </w:r>
          </w:p>
        </w:tc>
        <w:tc>
          <w:tcPr>
            <w:tcW w:w="82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 </w:t>
            </w:r>
          </w:p>
        </w:tc>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3.1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 </w:t>
            </w:r>
          </w:p>
        </w:tc>
        <w:tc>
          <w:tcPr>
            <w:tcW w:w="136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16535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 </w:t>
            </w:r>
          </w:p>
        </w:tc>
        <w:tc>
          <w:tcPr>
            <w:tcW w:w="11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7.5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 xml:space="preserve"> 易门县</w:t>
            </w:r>
          </w:p>
        </w:tc>
        <w:tc>
          <w:tcPr>
            <w:tcW w:w="109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41881 </w:t>
            </w:r>
          </w:p>
        </w:tc>
        <w:tc>
          <w:tcPr>
            <w:tcW w:w="82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 </w:t>
            </w:r>
          </w:p>
        </w:tc>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3.5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c>
          <w:tcPr>
            <w:tcW w:w="136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16220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c>
          <w:tcPr>
            <w:tcW w:w="11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7.4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 xml:space="preserve"> 峨山县</w:t>
            </w:r>
          </w:p>
        </w:tc>
        <w:tc>
          <w:tcPr>
            <w:tcW w:w="109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42441 </w:t>
            </w:r>
          </w:p>
        </w:tc>
        <w:tc>
          <w:tcPr>
            <w:tcW w:w="82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3.7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2 </w:t>
            </w:r>
          </w:p>
        </w:tc>
        <w:tc>
          <w:tcPr>
            <w:tcW w:w="136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15441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 </w:t>
            </w:r>
          </w:p>
        </w:tc>
        <w:tc>
          <w:tcPr>
            <w:tcW w:w="11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7.2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 xml:space="preserve"> 新平县</w:t>
            </w:r>
          </w:p>
        </w:tc>
        <w:tc>
          <w:tcPr>
            <w:tcW w:w="109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41952 </w:t>
            </w:r>
          </w:p>
        </w:tc>
        <w:tc>
          <w:tcPr>
            <w:tcW w:w="82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3.6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c>
          <w:tcPr>
            <w:tcW w:w="136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15858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6 </w:t>
            </w:r>
          </w:p>
        </w:tc>
        <w:tc>
          <w:tcPr>
            <w:tcW w:w="11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7.1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5 </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fixed"/>
          <w:tblCellMar>
            <w:top w:w="15" w:type="dxa"/>
            <w:left w:w="15" w:type="dxa"/>
            <w:bottom w:w="15" w:type="dxa"/>
            <w:right w:w="15" w:type="dxa"/>
          </w:tblCellMar>
        </w:tblPrEx>
        <w:trPr>
          <w:trHeight w:val="285" w:hRule="atLeast"/>
        </w:trPr>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kern w:val="0"/>
                <w:sz w:val="22"/>
                <w:szCs w:val="22"/>
                <w:highlight w:val="none"/>
              </w:rPr>
            </w:pPr>
            <w:r>
              <w:rPr>
                <w:rFonts w:hint="default" w:ascii="Times New Roman" w:hAnsi="Times New Roman" w:eastAsia="方正仿宋_GBK" w:cs="Times New Roman"/>
                <w:color w:val="000000"/>
                <w:kern w:val="0"/>
                <w:sz w:val="22"/>
                <w:szCs w:val="22"/>
                <w:highlight w:val="none"/>
              </w:rPr>
              <w:t xml:space="preserve"> 元江县</w:t>
            </w:r>
          </w:p>
        </w:tc>
        <w:tc>
          <w:tcPr>
            <w:tcW w:w="109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41120 </w:t>
            </w:r>
          </w:p>
        </w:tc>
        <w:tc>
          <w:tcPr>
            <w:tcW w:w="82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 </w:t>
            </w:r>
          </w:p>
        </w:tc>
        <w:tc>
          <w:tcPr>
            <w:tcW w:w="11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3.2 </w:t>
            </w:r>
          </w:p>
        </w:tc>
        <w:tc>
          <w:tcPr>
            <w:tcW w:w="8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8 </w:t>
            </w:r>
          </w:p>
        </w:tc>
        <w:tc>
          <w:tcPr>
            <w:tcW w:w="136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15128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9 </w:t>
            </w:r>
          </w:p>
        </w:tc>
        <w:tc>
          <w:tcPr>
            <w:tcW w:w="1185"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7.3 </w:t>
            </w:r>
          </w:p>
        </w:tc>
        <w:tc>
          <w:tcPr>
            <w:tcW w:w="870" w:type="dxa"/>
            <w:tcBorders>
              <w:tl2br w:val="nil"/>
              <w:tr2bl w:val="nil"/>
            </w:tcBorders>
            <w:shd w:val="clear" w:color="auto" w:fill="auto"/>
            <w:vAlign w:val="center"/>
          </w:tcPr>
          <w:p>
            <w:pPr>
              <w:widowControl/>
              <w:spacing w:line="340" w:lineRule="exact"/>
              <w:jc w:val="center"/>
              <w:textAlignment w:val="center"/>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 xml:space="preserve">3 </w:t>
            </w:r>
          </w:p>
        </w:tc>
      </w:tr>
    </w:tbl>
    <w:p>
      <w:pPr>
        <w:spacing w:line="540" w:lineRule="exact"/>
        <w:rPr>
          <w:rFonts w:hint="default" w:ascii="Times New Roman" w:hAnsi="Times New Roman" w:eastAsia="方正仿宋_GBK" w:cs="Times New Roman"/>
          <w:kern w:val="0"/>
          <w:sz w:val="24"/>
          <w:szCs w:val="24"/>
          <w:highlight w:val="none"/>
        </w:rPr>
      </w:pPr>
    </w:p>
    <w:p>
      <w:pPr>
        <w:spacing w:line="540" w:lineRule="exact"/>
        <w:rPr>
          <w:rFonts w:hint="default" w:ascii="Times New Roman" w:hAnsi="Times New Roman" w:eastAsia="方正仿宋_GBK" w:cs="Times New Roman"/>
          <w:kern w:val="0"/>
          <w:sz w:val="24"/>
          <w:szCs w:val="24"/>
          <w:highlight w:val="none"/>
        </w:rPr>
      </w:pPr>
    </w:p>
    <w:sectPr>
      <w:footerReference r:id="rId3" w:type="default"/>
      <w:pgSz w:w="11906" w:h="16838"/>
      <w:pgMar w:top="1701" w:right="1474" w:bottom="1701" w:left="1474" w:header="851" w:footer="992" w:gutter="0"/>
      <w:pgBorders>
        <w:top w:val="none" w:sz="0" w:space="0"/>
        <w:left w:val="none" w:sz="0" w:space="0"/>
        <w:bottom w:val="none" w:sz="0" w:space="0"/>
        <w:right w:val="none" w:sz="0" w:space="0"/>
      </w:pgBorders>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altName w:val="宋体"/>
    <w:panose1 w:val="00000000000000000000"/>
    <w:charset w:val="86"/>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- 2 -</w:t>
                          </w:r>
                          <w:r>
                            <w:rPr>
                              <w:rFonts w:hint="eastAsia"/>
                              <w:sz w:val="22"/>
                              <w:szCs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snapToGrid w:val="0"/>
                      <w:rPr>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- 2 -</w:t>
                    </w:r>
                    <w:r>
                      <w:rPr>
                        <w:rFonts w:hint="eastAsia"/>
                        <w:sz w:val="22"/>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77C7F"/>
    <w:multiLevelType w:val="singleLevel"/>
    <w:tmpl w:val="7E377C7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C77C2"/>
    <w:rsid w:val="00001DA5"/>
    <w:rsid w:val="0003737C"/>
    <w:rsid w:val="0003777C"/>
    <w:rsid w:val="00053A57"/>
    <w:rsid w:val="000802FE"/>
    <w:rsid w:val="000926AE"/>
    <w:rsid w:val="000A423A"/>
    <w:rsid w:val="00101B92"/>
    <w:rsid w:val="0010679C"/>
    <w:rsid w:val="00110035"/>
    <w:rsid w:val="00112629"/>
    <w:rsid w:val="00125F17"/>
    <w:rsid w:val="00126637"/>
    <w:rsid w:val="001502DD"/>
    <w:rsid w:val="00162D89"/>
    <w:rsid w:val="0016369D"/>
    <w:rsid w:val="00163EA7"/>
    <w:rsid w:val="00164093"/>
    <w:rsid w:val="00183F98"/>
    <w:rsid w:val="00190B6F"/>
    <w:rsid w:val="001C1F3F"/>
    <w:rsid w:val="00204137"/>
    <w:rsid w:val="002323AA"/>
    <w:rsid w:val="002508D4"/>
    <w:rsid w:val="00262184"/>
    <w:rsid w:val="00264EC7"/>
    <w:rsid w:val="002815D2"/>
    <w:rsid w:val="00284AE4"/>
    <w:rsid w:val="002857E0"/>
    <w:rsid w:val="00286090"/>
    <w:rsid w:val="002B59F8"/>
    <w:rsid w:val="002C5A22"/>
    <w:rsid w:val="002D65E4"/>
    <w:rsid w:val="002E3E24"/>
    <w:rsid w:val="002F17F1"/>
    <w:rsid w:val="002F3350"/>
    <w:rsid w:val="002F3E70"/>
    <w:rsid w:val="00311132"/>
    <w:rsid w:val="0032085E"/>
    <w:rsid w:val="00321A09"/>
    <w:rsid w:val="00347D1C"/>
    <w:rsid w:val="00373858"/>
    <w:rsid w:val="00376F66"/>
    <w:rsid w:val="00386AB5"/>
    <w:rsid w:val="003A34E4"/>
    <w:rsid w:val="003A3F01"/>
    <w:rsid w:val="003A4188"/>
    <w:rsid w:val="003D023D"/>
    <w:rsid w:val="003D6D01"/>
    <w:rsid w:val="003E531D"/>
    <w:rsid w:val="00405D48"/>
    <w:rsid w:val="00406FBF"/>
    <w:rsid w:val="00423D87"/>
    <w:rsid w:val="004621C8"/>
    <w:rsid w:val="00464E27"/>
    <w:rsid w:val="004654C4"/>
    <w:rsid w:val="00477AAC"/>
    <w:rsid w:val="004849DD"/>
    <w:rsid w:val="004948A5"/>
    <w:rsid w:val="004F6822"/>
    <w:rsid w:val="00503B7D"/>
    <w:rsid w:val="005048F2"/>
    <w:rsid w:val="00505E4A"/>
    <w:rsid w:val="00526386"/>
    <w:rsid w:val="00535260"/>
    <w:rsid w:val="00556896"/>
    <w:rsid w:val="00583540"/>
    <w:rsid w:val="005A62EB"/>
    <w:rsid w:val="005B2540"/>
    <w:rsid w:val="005B7B8E"/>
    <w:rsid w:val="005C5E14"/>
    <w:rsid w:val="005C699B"/>
    <w:rsid w:val="005D05E8"/>
    <w:rsid w:val="005E18DF"/>
    <w:rsid w:val="005F4351"/>
    <w:rsid w:val="0060351B"/>
    <w:rsid w:val="0061285A"/>
    <w:rsid w:val="00616F1F"/>
    <w:rsid w:val="00620CF1"/>
    <w:rsid w:val="00622A9B"/>
    <w:rsid w:val="0062697A"/>
    <w:rsid w:val="006539AC"/>
    <w:rsid w:val="00664F78"/>
    <w:rsid w:val="00694CCA"/>
    <w:rsid w:val="006A2311"/>
    <w:rsid w:val="006B05DB"/>
    <w:rsid w:val="006B620D"/>
    <w:rsid w:val="006B6296"/>
    <w:rsid w:val="006C7C7F"/>
    <w:rsid w:val="006D45FC"/>
    <w:rsid w:val="006D503C"/>
    <w:rsid w:val="006E01BE"/>
    <w:rsid w:val="006E28B2"/>
    <w:rsid w:val="006E6D2F"/>
    <w:rsid w:val="006F01A8"/>
    <w:rsid w:val="00714A35"/>
    <w:rsid w:val="007278B5"/>
    <w:rsid w:val="0073020F"/>
    <w:rsid w:val="00741E8F"/>
    <w:rsid w:val="0075066B"/>
    <w:rsid w:val="00750DB9"/>
    <w:rsid w:val="007515C6"/>
    <w:rsid w:val="00751CEC"/>
    <w:rsid w:val="007539CF"/>
    <w:rsid w:val="00765532"/>
    <w:rsid w:val="007920E1"/>
    <w:rsid w:val="00794509"/>
    <w:rsid w:val="007974C7"/>
    <w:rsid w:val="007B4843"/>
    <w:rsid w:val="007B7D51"/>
    <w:rsid w:val="007D241A"/>
    <w:rsid w:val="007D589F"/>
    <w:rsid w:val="007F7789"/>
    <w:rsid w:val="00816274"/>
    <w:rsid w:val="00834195"/>
    <w:rsid w:val="008505F1"/>
    <w:rsid w:val="0086468F"/>
    <w:rsid w:val="00865E97"/>
    <w:rsid w:val="00876688"/>
    <w:rsid w:val="00883A74"/>
    <w:rsid w:val="008858CE"/>
    <w:rsid w:val="008B13EB"/>
    <w:rsid w:val="008C0125"/>
    <w:rsid w:val="008D10B0"/>
    <w:rsid w:val="008E0565"/>
    <w:rsid w:val="008F612D"/>
    <w:rsid w:val="0090425B"/>
    <w:rsid w:val="00904921"/>
    <w:rsid w:val="00921A9A"/>
    <w:rsid w:val="00923519"/>
    <w:rsid w:val="00946BE0"/>
    <w:rsid w:val="00955527"/>
    <w:rsid w:val="009735FB"/>
    <w:rsid w:val="009737AD"/>
    <w:rsid w:val="009806B0"/>
    <w:rsid w:val="00983622"/>
    <w:rsid w:val="009A7AEF"/>
    <w:rsid w:val="009B0CC2"/>
    <w:rsid w:val="009D6A84"/>
    <w:rsid w:val="009E1551"/>
    <w:rsid w:val="009E659F"/>
    <w:rsid w:val="009F122E"/>
    <w:rsid w:val="009F334C"/>
    <w:rsid w:val="00A2123C"/>
    <w:rsid w:val="00A460FD"/>
    <w:rsid w:val="00A54322"/>
    <w:rsid w:val="00A6765B"/>
    <w:rsid w:val="00A95A44"/>
    <w:rsid w:val="00AA4CE0"/>
    <w:rsid w:val="00AB4D2A"/>
    <w:rsid w:val="00AC575C"/>
    <w:rsid w:val="00AD519F"/>
    <w:rsid w:val="00AD5280"/>
    <w:rsid w:val="00AD5E72"/>
    <w:rsid w:val="00AE65E0"/>
    <w:rsid w:val="00AF28F0"/>
    <w:rsid w:val="00AF7982"/>
    <w:rsid w:val="00B01F65"/>
    <w:rsid w:val="00B204A5"/>
    <w:rsid w:val="00B247D8"/>
    <w:rsid w:val="00B300D7"/>
    <w:rsid w:val="00B30241"/>
    <w:rsid w:val="00B32434"/>
    <w:rsid w:val="00B64006"/>
    <w:rsid w:val="00B66D56"/>
    <w:rsid w:val="00B7295A"/>
    <w:rsid w:val="00BA0237"/>
    <w:rsid w:val="00BA2B47"/>
    <w:rsid w:val="00BA3646"/>
    <w:rsid w:val="00BA3903"/>
    <w:rsid w:val="00BB788D"/>
    <w:rsid w:val="00BC4A4E"/>
    <w:rsid w:val="00BD1493"/>
    <w:rsid w:val="00BF01C5"/>
    <w:rsid w:val="00C16AEB"/>
    <w:rsid w:val="00C21798"/>
    <w:rsid w:val="00C26C08"/>
    <w:rsid w:val="00C363BC"/>
    <w:rsid w:val="00C3678E"/>
    <w:rsid w:val="00C601CD"/>
    <w:rsid w:val="00C62B77"/>
    <w:rsid w:val="00C66163"/>
    <w:rsid w:val="00C67BB9"/>
    <w:rsid w:val="00C732DD"/>
    <w:rsid w:val="00C77126"/>
    <w:rsid w:val="00C97C54"/>
    <w:rsid w:val="00CB5142"/>
    <w:rsid w:val="00CC387C"/>
    <w:rsid w:val="00CD435D"/>
    <w:rsid w:val="00CE1A33"/>
    <w:rsid w:val="00D044FA"/>
    <w:rsid w:val="00D420A7"/>
    <w:rsid w:val="00D422D6"/>
    <w:rsid w:val="00D4327E"/>
    <w:rsid w:val="00D43F1B"/>
    <w:rsid w:val="00D45BDA"/>
    <w:rsid w:val="00D6550E"/>
    <w:rsid w:val="00D668BF"/>
    <w:rsid w:val="00D821E1"/>
    <w:rsid w:val="00D96FF2"/>
    <w:rsid w:val="00DB627C"/>
    <w:rsid w:val="00DC3BE1"/>
    <w:rsid w:val="00DC77F5"/>
    <w:rsid w:val="00DF6163"/>
    <w:rsid w:val="00E03B0B"/>
    <w:rsid w:val="00E1414C"/>
    <w:rsid w:val="00E16CC8"/>
    <w:rsid w:val="00E3452B"/>
    <w:rsid w:val="00E347A3"/>
    <w:rsid w:val="00E745AC"/>
    <w:rsid w:val="00E80804"/>
    <w:rsid w:val="00EB092F"/>
    <w:rsid w:val="00EB262A"/>
    <w:rsid w:val="00EB6597"/>
    <w:rsid w:val="00EB7CF5"/>
    <w:rsid w:val="00EC68E0"/>
    <w:rsid w:val="00ED19DC"/>
    <w:rsid w:val="00EE7B99"/>
    <w:rsid w:val="00EF120A"/>
    <w:rsid w:val="00F654B0"/>
    <w:rsid w:val="00F9463B"/>
    <w:rsid w:val="00FA27B6"/>
    <w:rsid w:val="00FA4D2E"/>
    <w:rsid w:val="00FB670B"/>
    <w:rsid w:val="00FD50C3"/>
    <w:rsid w:val="00FD6090"/>
    <w:rsid w:val="00FD7A37"/>
    <w:rsid w:val="00FF10F5"/>
    <w:rsid w:val="01015AC3"/>
    <w:rsid w:val="01083876"/>
    <w:rsid w:val="011C503E"/>
    <w:rsid w:val="012B7099"/>
    <w:rsid w:val="01342DFD"/>
    <w:rsid w:val="013E0847"/>
    <w:rsid w:val="014508C9"/>
    <w:rsid w:val="01454FAD"/>
    <w:rsid w:val="014B7493"/>
    <w:rsid w:val="014C1933"/>
    <w:rsid w:val="014D269A"/>
    <w:rsid w:val="01510C03"/>
    <w:rsid w:val="016A0FEE"/>
    <w:rsid w:val="016C2174"/>
    <w:rsid w:val="0181634A"/>
    <w:rsid w:val="01851096"/>
    <w:rsid w:val="018938ED"/>
    <w:rsid w:val="018A3BB3"/>
    <w:rsid w:val="01992CB2"/>
    <w:rsid w:val="019A1DF8"/>
    <w:rsid w:val="019B7457"/>
    <w:rsid w:val="01B63020"/>
    <w:rsid w:val="01CE0472"/>
    <w:rsid w:val="01EE11A6"/>
    <w:rsid w:val="01F13C79"/>
    <w:rsid w:val="01F4326B"/>
    <w:rsid w:val="01F6413B"/>
    <w:rsid w:val="02156F5E"/>
    <w:rsid w:val="02176E36"/>
    <w:rsid w:val="021E334F"/>
    <w:rsid w:val="022A68C5"/>
    <w:rsid w:val="022B5527"/>
    <w:rsid w:val="023E7ADD"/>
    <w:rsid w:val="02466613"/>
    <w:rsid w:val="02587DCD"/>
    <w:rsid w:val="02596086"/>
    <w:rsid w:val="02710458"/>
    <w:rsid w:val="027F3DB6"/>
    <w:rsid w:val="028F1109"/>
    <w:rsid w:val="02AF62C4"/>
    <w:rsid w:val="02AF7331"/>
    <w:rsid w:val="02AF79A0"/>
    <w:rsid w:val="02B938C0"/>
    <w:rsid w:val="02BC131B"/>
    <w:rsid w:val="02CD02BE"/>
    <w:rsid w:val="02CD44A0"/>
    <w:rsid w:val="02D268B6"/>
    <w:rsid w:val="02E807DF"/>
    <w:rsid w:val="02EC3D22"/>
    <w:rsid w:val="02F018A1"/>
    <w:rsid w:val="03014F3D"/>
    <w:rsid w:val="03145185"/>
    <w:rsid w:val="03172A0B"/>
    <w:rsid w:val="03186069"/>
    <w:rsid w:val="0324462D"/>
    <w:rsid w:val="032A7FB4"/>
    <w:rsid w:val="033053C6"/>
    <w:rsid w:val="034E167B"/>
    <w:rsid w:val="035B189B"/>
    <w:rsid w:val="0367124E"/>
    <w:rsid w:val="03785119"/>
    <w:rsid w:val="038F0F77"/>
    <w:rsid w:val="039902A3"/>
    <w:rsid w:val="039E199A"/>
    <w:rsid w:val="03A23510"/>
    <w:rsid w:val="03A84799"/>
    <w:rsid w:val="03AE6061"/>
    <w:rsid w:val="03B54F0A"/>
    <w:rsid w:val="03B97A50"/>
    <w:rsid w:val="03C4041E"/>
    <w:rsid w:val="03CA3A77"/>
    <w:rsid w:val="03CB019C"/>
    <w:rsid w:val="03CE62BD"/>
    <w:rsid w:val="03D44A28"/>
    <w:rsid w:val="03E4069D"/>
    <w:rsid w:val="03FE1C05"/>
    <w:rsid w:val="04020F3A"/>
    <w:rsid w:val="04126704"/>
    <w:rsid w:val="041801C3"/>
    <w:rsid w:val="041B065F"/>
    <w:rsid w:val="04390E9D"/>
    <w:rsid w:val="043A1877"/>
    <w:rsid w:val="0445136C"/>
    <w:rsid w:val="044C1A31"/>
    <w:rsid w:val="044D3360"/>
    <w:rsid w:val="0450520C"/>
    <w:rsid w:val="045C4880"/>
    <w:rsid w:val="045F1181"/>
    <w:rsid w:val="04626D39"/>
    <w:rsid w:val="04633964"/>
    <w:rsid w:val="046D2A69"/>
    <w:rsid w:val="04705C95"/>
    <w:rsid w:val="04813D3E"/>
    <w:rsid w:val="048C55C1"/>
    <w:rsid w:val="04900DB1"/>
    <w:rsid w:val="04937312"/>
    <w:rsid w:val="04B52F68"/>
    <w:rsid w:val="04C659C6"/>
    <w:rsid w:val="04C90D5D"/>
    <w:rsid w:val="04D75895"/>
    <w:rsid w:val="04DD60E9"/>
    <w:rsid w:val="04E04230"/>
    <w:rsid w:val="04E268FB"/>
    <w:rsid w:val="04F64F3D"/>
    <w:rsid w:val="04FE446E"/>
    <w:rsid w:val="04FF2B40"/>
    <w:rsid w:val="0503021C"/>
    <w:rsid w:val="05036D9A"/>
    <w:rsid w:val="050A1B62"/>
    <w:rsid w:val="050F3C72"/>
    <w:rsid w:val="0517259E"/>
    <w:rsid w:val="051C748B"/>
    <w:rsid w:val="051C78E6"/>
    <w:rsid w:val="05243688"/>
    <w:rsid w:val="052E228E"/>
    <w:rsid w:val="053C50F7"/>
    <w:rsid w:val="05770651"/>
    <w:rsid w:val="058C3B96"/>
    <w:rsid w:val="05AC367E"/>
    <w:rsid w:val="05B94115"/>
    <w:rsid w:val="05BA4A44"/>
    <w:rsid w:val="05BD2FC8"/>
    <w:rsid w:val="05D30E2A"/>
    <w:rsid w:val="05DC2DEC"/>
    <w:rsid w:val="05E7796B"/>
    <w:rsid w:val="05EC062A"/>
    <w:rsid w:val="05F06082"/>
    <w:rsid w:val="05F45EE1"/>
    <w:rsid w:val="05FC4B31"/>
    <w:rsid w:val="06025149"/>
    <w:rsid w:val="06083D37"/>
    <w:rsid w:val="06087286"/>
    <w:rsid w:val="061733E7"/>
    <w:rsid w:val="062B0D61"/>
    <w:rsid w:val="062D3421"/>
    <w:rsid w:val="06374617"/>
    <w:rsid w:val="06377434"/>
    <w:rsid w:val="06431D94"/>
    <w:rsid w:val="06504E27"/>
    <w:rsid w:val="065E21F7"/>
    <w:rsid w:val="06691A91"/>
    <w:rsid w:val="066C543B"/>
    <w:rsid w:val="0677069C"/>
    <w:rsid w:val="067A732F"/>
    <w:rsid w:val="06827C3B"/>
    <w:rsid w:val="068B5442"/>
    <w:rsid w:val="068F23B4"/>
    <w:rsid w:val="06A37C3B"/>
    <w:rsid w:val="06AA6879"/>
    <w:rsid w:val="06CD0A8E"/>
    <w:rsid w:val="06DB2527"/>
    <w:rsid w:val="06E10DDC"/>
    <w:rsid w:val="071A225E"/>
    <w:rsid w:val="071A724B"/>
    <w:rsid w:val="072146A9"/>
    <w:rsid w:val="07250C33"/>
    <w:rsid w:val="07263C12"/>
    <w:rsid w:val="07294B70"/>
    <w:rsid w:val="072F0E36"/>
    <w:rsid w:val="073257C2"/>
    <w:rsid w:val="07380235"/>
    <w:rsid w:val="074D78CB"/>
    <w:rsid w:val="075C3259"/>
    <w:rsid w:val="075D319E"/>
    <w:rsid w:val="07753FFA"/>
    <w:rsid w:val="07957218"/>
    <w:rsid w:val="07A2398C"/>
    <w:rsid w:val="07AB45F6"/>
    <w:rsid w:val="07B850B0"/>
    <w:rsid w:val="07BE6488"/>
    <w:rsid w:val="07C833E8"/>
    <w:rsid w:val="07C9732A"/>
    <w:rsid w:val="07D74BA9"/>
    <w:rsid w:val="07DF4B4C"/>
    <w:rsid w:val="07F01645"/>
    <w:rsid w:val="07F3661C"/>
    <w:rsid w:val="07F6318D"/>
    <w:rsid w:val="080A71F7"/>
    <w:rsid w:val="080E2A4B"/>
    <w:rsid w:val="081B4D70"/>
    <w:rsid w:val="082B2617"/>
    <w:rsid w:val="082B7571"/>
    <w:rsid w:val="082D704A"/>
    <w:rsid w:val="082E3B00"/>
    <w:rsid w:val="08520E38"/>
    <w:rsid w:val="085F3294"/>
    <w:rsid w:val="086574EC"/>
    <w:rsid w:val="086E5BD8"/>
    <w:rsid w:val="08752A36"/>
    <w:rsid w:val="08760947"/>
    <w:rsid w:val="087B482C"/>
    <w:rsid w:val="08867770"/>
    <w:rsid w:val="088900AD"/>
    <w:rsid w:val="088C10EC"/>
    <w:rsid w:val="088D73BD"/>
    <w:rsid w:val="08910382"/>
    <w:rsid w:val="089514F1"/>
    <w:rsid w:val="089733A4"/>
    <w:rsid w:val="089F6652"/>
    <w:rsid w:val="08A41358"/>
    <w:rsid w:val="08A8274E"/>
    <w:rsid w:val="08B47E4D"/>
    <w:rsid w:val="08B51C3B"/>
    <w:rsid w:val="08BD3201"/>
    <w:rsid w:val="08C57D39"/>
    <w:rsid w:val="08CD1970"/>
    <w:rsid w:val="08DC7BCA"/>
    <w:rsid w:val="08DD6D78"/>
    <w:rsid w:val="08EB6762"/>
    <w:rsid w:val="08F0227C"/>
    <w:rsid w:val="08F13D94"/>
    <w:rsid w:val="090253B0"/>
    <w:rsid w:val="091700FF"/>
    <w:rsid w:val="091B329F"/>
    <w:rsid w:val="091D4767"/>
    <w:rsid w:val="091E3F19"/>
    <w:rsid w:val="092839D2"/>
    <w:rsid w:val="093C0A4B"/>
    <w:rsid w:val="094230F8"/>
    <w:rsid w:val="095D1C64"/>
    <w:rsid w:val="09677550"/>
    <w:rsid w:val="09726F49"/>
    <w:rsid w:val="0977001C"/>
    <w:rsid w:val="098816C8"/>
    <w:rsid w:val="09902C07"/>
    <w:rsid w:val="099D461A"/>
    <w:rsid w:val="09A46DAD"/>
    <w:rsid w:val="09B71713"/>
    <w:rsid w:val="09B83954"/>
    <w:rsid w:val="09B968C0"/>
    <w:rsid w:val="09BD4F6F"/>
    <w:rsid w:val="09CA2A53"/>
    <w:rsid w:val="09D137BD"/>
    <w:rsid w:val="09E11742"/>
    <w:rsid w:val="09E90045"/>
    <w:rsid w:val="09EF20C4"/>
    <w:rsid w:val="09F23B2B"/>
    <w:rsid w:val="09F61091"/>
    <w:rsid w:val="09F7545D"/>
    <w:rsid w:val="09FC77F2"/>
    <w:rsid w:val="09FE3F06"/>
    <w:rsid w:val="0A010578"/>
    <w:rsid w:val="0A053019"/>
    <w:rsid w:val="0A074277"/>
    <w:rsid w:val="0A116942"/>
    <w:rsid w:val="0A1170BC"/>
    <w:rsid w:val="0A317446"/>
    <w:rsid w:val="0A3437DD"/>
    <w:rsid w:val="0A381AC1"/>
    <w:rsid w:val="0A3A706C"/>
    <w:rsid w:val="0A3B41F7"/>
    <w:rsid w:val="0A3B64DA"/>
    <w:rsid w:val="0A3F23A2"/>
    <w:rsid w:val="0A4C380C"/>
    <w:rsid w:val="0A4F73D2"/>
    <w:rsid w:val="0A6A3659"/>
    <w:rsid w:val="0A75779F"/>
    <w:rsid w:val="0A7D07E4"/>
    <w:rsid w:val="0A8175B3"/>
    <w:rsid w:val="0AA80E44"/>
    <w:rsid w:val="0AA8718C"/>
    <w:rsid w:val="0AAB6F95"/>
    <w:rsid w:val="0AAC7E3E"/>
    <w:rsid w:val="0ABB71E8"/>
    <w:rsid w:val="0ABD706E"/>
    <w:rsid w:val="0AD000F1"/>
    <w:rsid w:val="0ADB32E9"/>
    <w:rsid w:val="0AE00298"/>
    <w:rsid w:val="0AED4391"/>
    <w:rsid w:val="0B012710"/>
    <w:rsid w:val="0B014C73"/>
    <w:rsid w:val="0B0405D2"/>
    <w:rsid w:val="0B0D118A"/>
    <w:rsid w:val="0B137CC2"/>
    <w:rsid w:val="0B140015"/>
    <w:rsid w:val="0B251F4C"/>
    <w:rsid w:val="0B507384"/>
    <w:rsid w:val="0B572305"/>
    <w:rsid w:val="0B5A0B22"/>
    <w:rsid w:val="0B627A9E"/>
    <w:rsid w:val="0B6B3351"/>
    <w:rsid w:val="0B741E78"/>
    <w:rsid w:val="0B7F622A"/>
    <w:rsid w:val="0BA8373F"/>
    <w:rsid w:val="0BB063A5"/>
    <w:rsid w:val="0BB7647E"/>
    <w:rsid w:val="0BBC61A4"/>
    <w:rsid w:val="0BC805C5"/>
    <w:rsid w:val="0BD25038"/>
    <w:rsid w:val="0BDA661C"/>
    <w:rsid w:val="0BE33A85"/>
    <w:rsid w:val="0BE36247"/>
    <w:rsid w:val="0C09004B"/>
    <w:rsid w:val="0C0E5DF7"/>
    <w:rsid w:val="0C1557D3"/>
    <w:rsid w:val="0C1739D8"/>
    <w:rsid w:val="0C1B52A5"/>
    <w:rsid w:val="0C270D8D"/>
    <w:rsid w:val="0C292738"/>
    <w:rsid w:val="0C393288"/>
    <w:rsid w:val="0C3C2130"/>
    <w:rsid w:val="0C3D68A7"/>
    <w:rsid w:val="0C437AF0"/>
    <w:rsid w:val="0C4A39D3"/>
    <w:rsid w:val="0C4B1836"/>
    <w:rsid w:val="0C5E4CC7"/>
    <w:rsid w:val="0C643D7D"/>
    <w:rsid w:val="0C6E49BD"/>
    <w:rsid w:val="0C7C5A2B"/>
    <w:rsid w:val="0C8B1B6A"/>
    <w:rsid w:val="0C9A2ECD"/>
    <w:rsid w:val="0CA324D5"/>
    <w:rsid w:val="0CA97121"/>
    <w:rsid w:val="0CE10345"/>
    <w:rsid w:val="0CE31471"/>
    <w:rsid w:val="0CE37E9A"/>
    <w:rsid w:val="0CF33D4B"/>
    <w:rsid w:val="0CF34D14"/>
    <w:rsid w:val="0CFD1A21"/>
    <w:rsid w:val="0CFE0F5B"/>
    <w:rsid w:val="0D071008"/>
    <w:rsid w:val="0D16768D"/>
    <w:rsid w:val="0D1C3AA6"/>
    <w:rsid w:val="0D1D041C"/>
    <w:rsid w:val="0D1E6C0E"/>
    <w:rsid w:val="0D280D81"/>
    <w:rsid w:val="0D2B74CE"/>
    <w:rsid w:val="0D2C5798"/>
    <w:rsid w:val="0D3B36EB"/>
    <w:rsid w:val="0D555344"/>
    <w:rsid w:val="0D560A1E"/>
    <w:rsid w:val="0D730AB8"/>
    <w:rsid w:val="0D7D21E2"/>
    <w:rsid w:val="0D95691F"/>
    <w:rsid w:val="0DA12FED"/>
    <w:rsid w:val="0DA62764"/>
    <w:rsid w:val="0DAF6CC4"/>
    <w:rsid w:val="0DBC6E0C"/>
    <w:rsid w:val="0DBE7971"/>
    <w:rsid w:val="0DC226A0"/>
    <w:rsid w:val="0DCD61C0"/>
    <w:rsid w:val="0DD073D2"/>
    <w:rsid w:val="0DD30281"/>
    <w:rsid w:val="0DD52FE9"/>
    <w:rsid w:val="0DD7442A"/>
    <w:rsid w:val="0DED3B6A"/>
    <w:rsid w:val="0DEF17D1"/>
    <w:rsid w:val="0E06556F"/>
    <w:rsid w:val="0E097363"/>
    <w:rsid w:val="0E17553D"/>
    <w:rsid w:val="0E335163"/>
    <w:rsid w:val="0E3A26EC"/>
    <w:rsid w:val="0E3D693E"/>
    <w:rsid w:val="0E4033B6"/>
    <w:rsid w:val="0E42139A"/>
    <w:rsid w:val="0E600B61"/>
    <w:rsid w:val="0E613F7A"/>
    <w:rsid w:val="0E684B11"/>
    <w:rsid w:val="0E7A5F62"/>
    <w:rsid w:val="0E7A6AF4"/>
    <w:rsid w:val="0E8607AC"/>
    <w:rsid w:val="0EC460DA"/>
    <w:rsid w:val="0EE83A9B"/>
    <w:rsid w:val="0EEC4FFE"/>
    <w:rsid w:val="0EED782D"/>
    <w:rsid w:val="0EF073D9"/>
    <w:rsid w:val="0EF07F5E"/>
    <w:rsid w:val="0EF231CB"/>
    <w:rsid w:val="0F0118EC"/>
    <w:rsid w:val="0F0B2ECB"/>
    <w:rsid w:val="0F0E1605"/>
    <w:rsid w:val="0F0E5862"/>
    <w:rsid w:val="0F0F00E1"/>
    <w:rsid w:val="0F18305D"/>
    <w:rsid w:val="0F2A14F4"/>
    <w:rsid w:val="0F320DA5"/>
    <w:rsid w:val="0F46086E"/>
    <w:rsid w:val="0F4B2B66"/>
    <w:rsid w:val="0F4D0EBE"/>
    <w:rsid w:val="0F827C58"/>
    <w:rsid w:val="0F873039"/>
    <w:rsid w:val="0F88693F"/>
    <w:rsid w:val="0F8B6620"/>
    <w:rsid w:val="0FA90325"/>
    <w:rsid w:val="0FA92AA8"/>
    <w:rsid w:val="0FAD3657"/>
    <w:rsid w:val="0FAD779D"/>
    <w:rsid w:val="0FAE2297"/>
    <w:rsid w:val="0FB2717F"/>
    <w:rsid w:val="0FB7596E"/>
    <w:rsid w:val="0FBB405A"/>
    <w:rsid w:val="0FC619D5"/>
    <w:rsid w:val="0FCC2E39"/>
    <w:rsid w:val="0FD3278D"/>
    <w:rsid w:val="0FD72D9A"/>
    <w:rsid w:val="0FD76705"/>
    <w:rsid w:val="0FD8225F"/>
    <w:rsid w:val="0FDC3461"/>
    <w:rsid w:val="0FDD327D"/>
    <w:rsid w:val="0FE06131"/>
    <w:rsid w:val="0FE240C1"/>
    <w:rsid w:val="0FE35CA5"/>
    <w:rsid w:val="0FF5797A"/>
    <w:rsid w:val="100D545B"/>
    <w:rsid w:val="100E5F80"/>
    <w:rsid w:val="100E7ACD"/>
    <w:rsid w:val="10106F95"/>
    <w:rsid w:val="10120374"/>
    <w:rsid w:val="10123978"/>
    <w:rsid w:val="10167477"/>
    <w:rsid w:val="10171E27"/>
    <w:rsid w:val="10260E1F"/>
    <w:rsid w:val="103B0B24"/>
    <w:rsid w:val="103B1DDA"/>
    <w:rsid w:val="10544132"/>
    <w:rsid w:val="105F0AC9"/>
    <w:rsid w:val="10711C85"/>
    <w:rsid w:val="1073491E"/>
    <w:rsid w:val="10845803"/>
    <w:rsid w:val="108C5931"/>
    <w:rsid w:val="10945E53"/>
    <w:rsid w:val="109C22A1"/>
    <w:rsid w:val="109E6014"/>
    <w:rsid w:val="10A97269"/>
    <w:rsid w:val="10AA6870"/>
    <w:rsid w:val="10B36D57"/>
    <w:rsid w:val="10B9187C"/>
    <w:rsid w:val="10DE79C0"/>
    <w:rsid w:val="10E4424A"/>
    <w:rsid w:val="10E85D69"/>
    <w:rsid w:val="10F57E8B"/>
    <w:rsid w:val="10FF0762"/>
    <w:rsid w:val="11064171"/>
    <w:rsid w:val="11091AFA"/>
    <w:rsid w:val="110F2AEF"/>
    <w:rsid w:val="111A26A7"/>
    <w:rsid w:val="11217B79"/>
    <w:rsid w:val="11343CA3"/>
    <w:rsid w:val="113B51A3"/>
    <w:rsid w:val="11515B11"/>
    <w:rsid w:val="115A37C1"/>
    <w:rsid w:val="115B693C"/>
    <w:rsid w:val="11676081"/>
    <w:rsid w:val="11987FE7"/>
    <w:rsid w:val="119D64AE"/>
    <w:rsid w:val="11A07792"/>
    <w:rsid w:val="11AC3898"/>
    <w:rsid w:val="11B47F2D"/>
    <w:rsid w:val="11B61F93"/>
    <w:rsid w:val="11BA6771"/>
    <w:rsid w:val="11BE2C3E"/>
    <w:rsid w:val="11D91A7D"/>
    <w:rsid w:val="11DB60C7"/>
    <w:rsid w:val="11E51B58"/>
    <w:rsid w:val="120040A1"/>
    <w:rsid w:val="121B2912"/>
    <w:rsid w:val="121E651E"/>
    <w:rsid w:val="122C510A"/>
    <w:rsid w:val="122D33B4"/>
    <w:rsid w:val="123646E9"/>
    <w:rsid w:val="1240709C"/>
    <w:rsid w:val="12492478"/>
    <w:rsid w:val="124A3344"/>
    <w:rsid w:val="125B4E5F"/>
    <w:rsid w:val="126161D4"/>
    <w:rsid w:val="127B64B1"/>
    <w:rsid w:val="128655FA"/>
    <w:rsid w:val="129526FD"/>
    <w:rsid w:val="12991654"/>
    <w:rsid w:val="12A23821"/>
    <w:rsid w:val="12BC1D84"/>
    <w:rsid w:val="12BF7BC8"/>
    <w:rsid w:val="12C16F32"/>
    <w:rsid w:val="12C62DF0"/>
    <w:rsid w:val="12D14962"/>
    <w:rsid w:val="12D85814"/>
    <w:rsid w:val="12EB0443"/>
    <w:rsid w:val="12F43E1E"/>
    <w:rsid w:val="12F8210F"/>
    <w:rsid w:val="130B0128"/>
    <w:rsid w:val="13135D2E"/>
    <w:rsid w:val="1315718A"/>
    <w:rsid w:val="1325667D"/>
    <w:rsid w:val="133C2FF9"/>
    <w:rsid w:val="135866C1"/>
    <w:rsid w:val="136775FE"/>
    <w:rsid w:val="136A224F"/>
    <w:rsid w:val="13770C68"/>
    <w:rsid w:val="1378442C"/>
    <w:rsid w:val="137A6B8F"/>
    <w:rsid w:val="13841A8C"/>
    <w:rsid w:val="13874FD5"/>
    <w:rsid w:val="138817AC"/>
    <w:rsid w:val="1397476B"/>
    <w:rsid w:val="13A15002"/>
    <w:rsid w:val="13A71D49"/>
    <w:rsid w:val="13A74F74"/>
    <w:rsid w:val="13A84334"/>
    <w:rsid w:val="13AE0D30"/>
    <w:rsid w:val="13B16B46"/>
    <w:rsid w:val="13BF7F00"/>
    <w:rsid w:val="13CE4636"/>
    <w:rsid w:val="13D06F48"/>
    <w:rsid w:val="13D14987"/>
    <w:rsid w:val="13DD173D"/>
    <w:rsid w:val="13DD3EE5"/>
    <w:rsid w:val="13E46E17"/>
    <w:rsid w:val="13E710FE"/>
    <w:rsid w:val="14027B13"/>
    <w:rsid w:val="140E17BA"/>
    <w:rsid w:val="141B4E81"/>
    <w:rsid w:val="14220959"/>
    <w:rsid w:val="142910C0"/>
    <w:rsid w:val="142B6FE5"/>
    <w:rsid w:val="14395EE0"/>
    <w:rsid w:val="14411576"/>
    <w:rsid w:val="14517D16"/>
    <w:rsid w:val="145960F0"/>
    <w:rsid w:val="145E4296"/>
    <w:rsid w:val="146F040C"/>
    <w:rsid w:val="148316C8"/>
    <w:rsid w:val="1488365D"/>
    <w:rsid w:val="14883B64"/>
    <w:rsid w:val="14AC3745"/>
    <w:rsid w:val="14AD015E"/>
    <w:rsid w:val="14B44F2A"/>
    <w:rsid w:val="14D971B9"/>
    <w:rsid w:val="14E770BE"/>
    <w:rsid w:val="14EC2BCC"/>
    <w:rsid w:val="150347DE"/>
    <w:rsid w:val="1509674B"/>
    <w:rsid w:val="150F594A"/>
    <w:rsid w:val="1528232D"/>
    <w:rsid w:val="152A757E"/>
    <w:rsid w:val="15312D19"/>
    <w:rsid w:val="15344205"/>
    <w:rsid w:val="15525A84"/>
    <w:rsid w:val="15535CBC"/>
    <w:rsid w:val="156073FF"/>
    <w:rsid w:val="156B50F1"/>
    <w:rsid w:val="15703208"/>
    <w:rsid w:val="15795736"/>
    <w:rsid w:val="157971B5"/>
    <w:rsid w:val="159707A8"/>
    <w:rsid w:val="159B418E"/>
    <w:rsid w:val="15A73E55"/>
    <w:rsid w:val="15AB10B0"/>
    <w:rsid w:val="15C74A17"/>
    <w:rsid w:val="15D43E1B"/>
    <w:rsid w:val="15D90606"/>
    <w:rsid w:val="15D94D23"/>
    <w:rsid w:val="15E258E9"/>
    <w:rsid w:val="15E86957"/>
    <w:rsid w:val="15F25D67"/>
    <w:rsid w:val="160D5C81"/>
    <w:rsid w:val="1617505E"/>
    <w:rsid w:val="161B48EC"/>
    <w:rsid w:val="161E70F6"/>
    <w:rsid w:val="16207DD7"/>
    <w:rsid w:val="16347456"/>
    <w:rsid w:val="16351BE7"/>
    <w:rsid w:val="163F0CF4"/>
    <w:rsid w:val="16426309"/>
    <w:rsid w:val="164324BF"/>
    <w:rsid w:val="16467275"/>
    <w:rsid w:val="164E6C05"/>
    <w:rsid w:val="16526D8A"/>
    <w:rsid w:val="168005BB"/>
    <w:rsid w:val="16890855"/>
    <w:rsid w:val="168E1B70"/>
    <w:rsid w:val="16905120"/>
    <w:rsid w:val="16920812"/>
    <w:rsid w:val="16A02F45"/>
    <w:rsid w:val="16A17BFB"/>
    <w:rsid w:val="16A3654F"/>
    <w:rsid w:val="16AB4FA0"/>
    <w:rsid w:val="16B35E86"/>
    <w:rsid w:val="16B423B0"/>
    <w:rsid w:val="16BB016B"/>
    <w:rsid w:val="16C2039E"/>
    <w:rsid w:val="16C75829"/>
    <w:rsid w:val="16C84181"/>
    <w:rsid w:val="16CC475F"/>
    <w:rsid w:val="16DA7200"/>
    <w:rsid w:val="16F329E2"/>
    <w:rsid w:val="16F34715"/>
    <w:rsid w:val="16FD3F15"/>
    <w:rsid w:val="170F437F"/>
    <w:rsid w:val="1713670E"/>
    <w:rsid w:val="17156A45"/>
    <w:rsid w:val="171F61B2"/>
    <w:rsid w:val="17203BB5"/>
    <w:rsid w:val="17206D9C"/>
    <w:rsid w:val="172D2A8A"/>
    <w:rsid w:val="172F4C86"/>
    <w:rsid w:val="17314E33"/>
    <w:rsid w:val="173D1FEC"/>
    <w:rsid w:val="174433F4"/>
    <w:rsid w:val="17447096"/>
    <w:rsid w:val="174D6D66"/>
    <w:rsid w:val="17585405"/>
    <w:rsid w:val="175B681F"/>
    <w:rsid w:val="17623670"/>
    <w:rsid w:val="17647E59"/>
    <w:rsid w:val="17672569"/>
    <w:rsid w:val="176A4855"/>
    <w:rsid w:val="17757AD6"/>
    <w:rsid w:val="177A5901"/>
    <w:rsid w:val="177D1456"/>
    <w:rsid w:val="177F26D2"/>
    <w:rsid w:val="17840DDB"/>
    <w:rsid w:val="17875CA4"/>
    <w:rsid w:val="178D6148"/>
    <w:rsid w:val="178E18AE"/>
    <w:rsid w:val="178E7999"/>
    <w:rsid w:val="178E7B34"/>
    <w:rsid w:val="17911FCA"/>
    <w:rsid w:val="179C4BFA"/>
    <w:rsid w:val="17A26837"/>
    <w:rsid w:val="17C055EA"/>
    <w:rsid w:val="17DC44F9"/>
    <w:rsid w:val="17F92918"/>
    <w:rsid w:val="17FC154C"/>
    <w:rsid w:val="18031376"/>
    <w:rsid w:val="18074B2C"/>
    <w:rsid w:val="180E342A"/>
    <w:rsid w:val="18102131"/>
    <w:rsid w:val="18147429"/>
    <w:rsid w:val="181814ED"/>
    <w:rsid w:val="182D7D9E"/>
    <w:rsid w:val="183227D8"/>
    <w:rsid w:val="18442191"/>
    <w:rsid w:val="18465CCF"/>
    <w:rsid w:val="184C4208"/>
    <w:rsid w:val="18503E9A"/>
    <w:rsid w:val="18691C2A"/>
    <w:rsid w:val="186C339C"/>
    <w:rsid w:val="18790C84"/>
    <w:rsid w:val="18791F55"/>
    <w:rsid w:val="18871F64"/>
    <w:rsid w:val="188D7E05"/>
    <w:rsid w:val="189359F1"/>
    <w:rsid w:val="189961E2"/>
    <w:rsid w:val="18A92CCA"/>
    <w:rsid w:val="18C53CF4"/>
    <w:rsid w:val="18CE08E7"/>
    <w:rsid w:val="18D93B04"/>
    <w:rsid w:val="18F50DF1"/>
    <w:rsid w:val="19161AA2"/>
    <w:rsid w:val="1917510E"/>
    <w:rsid w:val="19177811"/>
    <w:rsid w:val="191C374A"/>
    <w:rsid w:val="191D74ED"/>
    <w:rsid w:val="19222A39"/>
    <w:rsid w:val="19267B70"/>
    <w:rsid w:val="19283300"/>
    <w:rsid w:val="19337BBF"/>
    <w:rsid w:val="193679AE"/>
    <w:rsid w:val="193A7CA3"/>
    <w:rsid w:val="19404D39"/>
    <w:rsid w:val="194C51D5"/>
    <w:rsid w:val="19506B3B"/>
    <w:rsid w:val="195F4E9C"/>
    <w:rsid w:val="1966155D"/>
    <w:rsid w:val="196678CB"/>
    <w:rsid w:val="198B73B9"/>
    <w:rsid w:val="19902D99"/>
    <w:rsid w:val="19B24A18"/>
    <w:rsid w:val="19B72032"/>
    <w:rsid w:val="19D0418E"/>
    <w:rsid w:val="19D651AC"/>
    <w:rsid w:val="19DE7BAD"/>
    <w:rsid w:val="19E255DE"/>
    <w:rsid w:val="19FD78F6"/>
    <w:rsid w:val="1A007D8A"/>
    <w:rsid w:val="1A0B07C4"/>
    <w:rsid w:val="1A0C1235"/>
    <w:rsid w:val="1A1A2DE9"/>
    <w:rsid w:val="1A1E4EDC"/>
    <w:rsid w:val="1A1F75AB"/>
    <w:rsid w:val="1A241CE5"/>
    <w:rsid w:val="1A2A3450"/>
    <w:rsid w:val="1A3057F2"/>
    <w:rsid w:val="1A312E78"/>
    <w:rsid w:val="1A325E72"/>
    <w:rsid w:val="1A3714DB"/>
    <w:rsid w:val="1A3F49E5"/>
    <w:rsid w:val="1A4C062A"/>
    <w:rsid w:val="1A4F6E59"/>
    <w:rsid w:val="1A5D4229"/>
    <w:rsid w:val="1A657361"/>
    <w:rsid w:val="1A6954DE"/>
    <w:rsid w:val="1A6E50E7"/>
    <w:rsid w:val="1A727386"/>
    <w:rsid w:val="1A7B2884"/>
    <w:rsid w:val="1A8E09AD"/>
    <w:rsid w:val="1A942905"/>
    <w:rsid w:val="1A95424A"/>
    <w:rsid w:val="1A963751"/>
    <w:rsid w:val="1A974BD2"/>
    <w:rsid w:val="1A9A5E33"/>
    <w:rsid w:val="1AA46B29"/>
    <w:rsid w:val="1AA74153"/>
    <w:rsid w:val="1AA82F03"/>
    <w:rsid w:val="1AAA1688"/>
    <w:rsid w:val="1ABE0687"/>
    <w:rsid w:val="1AC81CE1"/>
    <w:rsid w:val="1AE03CC4"/>
    <w:rsid w:val="1AE071B1"/>
    <w:rsid w:val="1AE261CE"/>
    <w:rsid w:val="1AFA4433"/>
    <w:rsid w:val="1B0645C4"/>
    <w:rsid w:val="1B136EFA"/>
    <w:rsid w:val="1B1F70DB"/>
    <w:rsid w:val="1B21194C"/>
    <w:rsid w:val="1B23286F"/>
    <w:rsid w:val="1B2D3F71"/>
    <w:rsid w:val="1B2D56AB"/>
    <w:rsid w:val="1B2E3A26"/>
    <w:rsid w:val="1B3C1652"/>
    <w:rsid w:val="1B5B3557"/>
    <w:rsid w:val="1B65020E"/>
    <w:rsid w:val="1B727D5C"/>
    <w:rsid w:val="1B7E7BE1"/>
    <w:rsid w:val="1B880B32"/>
    <w:rsid w:val="1B8D7F8C"/>
    <w:rsid w:val="1BAB2959"/>
    <w:rsid w:val="1BAC670C"/>
    <w:rsid w:val="1BBE3D2B"/>
    <w:rsid w:val="1BC12BDF"/>
    <w:rsid w:val="1BC16853"/>
    <w:rsid w:val="1BC61663"/>
    <w:rsid w:val="1BCA61E2"/>
    <w:rsid w:val="1BCE322D"/>
    <w:rsid w:val="1BD82BF5"/>
    <w:rsid w:val="1BE6467B"/>
    <w:rsid w:val="1BE94B85"/>
    <w:rsid w:val="1BF14DDC"/>
    <w:rsid w:val="1BF305CA"/>
    <w:rsid w:val="1C055ADB"/>
    <w:rsid w:val="1C094AAC"/>
    <w:rsid w:val="1C0D06FF"/>
    <w:rsid w:val="1C1837D1"/>
    <w:rsid w:val="1C1A58AA"/>
    <w:rsid w:val="1C1E4061"/>
    <w:rsid w:val="1C32628D"/>
    <w:rsid w:val="1C4923EE"/>
    <w:rsid w:val="1C4D2F01"/>
    <w:rsid w:val="1C501A15"/>
    <w:rsid w:val="1C5D235B"/>
    <w:rsid w:val="1C7008FA"/>
    <w:rsid w:val="1C80665D"/>
    <w:rsid w:val="1C881946"/>
    <w:rsid w:val="1CAB284E"/>
    <w:rsid w:val="1CB25A87"/>
    <w:rsid w:val="1CB403A9"/>
    <w:rsid w:val="1CB60057"/>
    <w:rsid w:val="1CBF4EAB"/>
    <w:rsid w:val="1CD1170F"/>
    <w:rsid w:val="1CDD61C6"/>
    <w:rsid w:val="1CE274D6"/>
    <w:rsid w:val="1CE32158"/>
    <w:rsid w:val="1CF46535"/>
    <w:rsid w:val="1D084DC1"/>
    <w:rsid w:val="1D0953E4"/>
    <w:rsid w:val="1D28086F"/>
    <w:rsid w:val="1D2E35BD"/>
    <w:rsid w:val="1D2F6E2E"/>
    <w:rsid w:val="1D421CBF"/>
    <w:rsid w:val="1D4F0FE6"/>
    <w:rsid w:val="1D670577"/>
    <w:rsid w:val="1D6B49C3"/>
    <w:rsid w:val="1D732016"/>
    <w:rsid w:val="1D7640AD"/>
    <w:rsid w:val="1D865AE0"/>
    <w:rsid w:val="1D875995"/>
    <w:rsid w:val="1DA24FB8"/>
    <w:rsid w:val="1DA46DDF"/>
    <w:rsid w:val="1DB27E44"/>
    <w:rsid w:val="1DB73097"/>
    <w:rsid w:val="1DC02BE8"/>
    <w:rsid w:val="1DC26FB5"/>
    <w:rsid w:val="1DC64FD1"/>
    <w:rsid w:val="1DCD05FB"/>
    <w:rsid w:val="1DDB0CFA"/>
    <w:rsid w:val="1DE306C5"/>
    <w:rsid w:val="1DF000B1"/>
    <w:rsid w:val="1E0623AC"/>
    <w:rsid w:val="1E132173"/>
    <w:rsid w:val="1E1F15DC"/>
    <w:rsid w:val="1E320F3F"/>
    <w:rsid w:val="1E405900"/>
    <w:rsid w:val="1E597E41"/>
    <w:rsid w:val="1E5C4825"/>
    <w:rsid w:val="1E715F33"/>
    <w:rsid w:val="1E7264F7"/>
    <w:rsid w:val="1E76130E"/>
    <w:rsid w:val="1E823D5B"/>
    <w:rsid w:val="1E886115"/>
    <w:rsid w:val="1E8A6C14"/>
    <w:rsid w:val="1E924379"/>
    <w:rsid w:val="1EA22A80"/>
    <w:rsid w:val="1EA74AFC"/>
    <w:rsid w:val="1EB143DC"/>
    <w:rsid w:val="1EE07B63"/>
    <w:rsid w:val="1EE95E8C"/>
    <w:rsid w:val="1EEA1E81"/>
    <w:rsid w:val="1F0015C7"/>
    <w:rsid w:val="1F0574E0"/>
    <w:rsid w:val="1F077307"/>
    <w:rsid w:val="1F0A393A"/>
    <w:rsid w:val="1F174AE1"/>
    <w:rsid w:val="1F28195A"/>
    <w:rsid w:val="1F2E229C"/>
    <w:rsid w:val="1F2F09FC"/>
    <w:rsid w:val="1F315C47"/>
    <w:rsid w:val="1F3A6C43"/>
    <w:rsid w:val="1F3F3D26"/>
    <w:rsid w:val="1F3F3E30"/>
    <w:rsid w:val="1F45052F"/>
    <w:rsid w:val="1F4640F4"/>
    <w:rsid w:val="1F4743CC"/>
    <w:rsid w:val="1F4E3CE5"/>
    <w:rsid w:val="1F4E6900"/>
    <w:rsid w:val="1F5940C0"/>
    <w:rsid w:val="1F643EB4"/>
    <w:rsid w:val="1F69104D"/>
    <w:rsid w:val="1F794B48"/>
    <w:rsid w:val="1F7B7258"/>
    <w:rsid w:val="1F831E25"/>
    <w:rsid w:val="1F934C06"/>
    <w:rsid w:val="1F9533FC"/>
    <w:rsid w:val="1FB711F0"/>
    <w:rsid w:val="1FB974DB"/>
    <w:rsid w:val="1FDA3118"/>
    <w:rsid w:val="1FDD3871"/>
    <w:rsid w:val="1FE81D3D"/>
    <w:rsid w:val="1FEA5C75"/>
    <w:rsid w:val="1FFC5838"/>
    <w:rsid w:val="201B5175"/>
    <w:rsid w:val="201F14FF"/>
    <w:rsid w:val="20246AA5"/>
    <w:rsid w:val="202654CB"/>
    <w:rsid w:val="202B56B1"/>
    <w:rsid w:val="202D4135"/>
    <w:rsid w:val="203A20BF"/>
    <w:rsid w:val="20562860"/>
    <w:rsid w:val="205B172F"/>
    <w:rsid w:val="20670638"/>
    <w:rsid w:val="206B419F"/>
    <w:rsid w:val="206F7AAC"/>
    <w:rsid w:val="208943CF"/>
    <w:rsid w:val="2097125B"/>
    <w:rsid w:val="20A43872"/>
    <w:rsid w:val="20B3673F"/>
    <w:rsid w:val="20B44181"/>
    <w:rsid w:val="20B5542B"/>
    <w:rsid w:val="20BB0ABF"/>
    <w:rsid w:val="20BB2FA7"/>
    <w:rsid w:val="20C07406"/>
    <w:rsid w:val="20C44741"/>
    <w:rsid w:val="20C51C02"/>
    <w:rsid w:val="20CE3BCD"/>
    <w:rsid w:val="20DE5CAC"/>
    <w:rsid w:val="20DF370C"/>
    <w:rsid w:val="20E35EAC"/>
    <w:rsid w:val="20E90E49"/>
    <w:rsid w:val="20EF08FC"/>
    <w:rsid w:val="20F010FB"/>
    <w:rsid w:val="20F41D54"/>
    <w:rsid w:val="211C16B0"/>
    <w:rsid w:val="21246DFA"/>
    <w:rsid w:val="212F5523"/>
    <w:rsid w:val="215344ED"/>
    <w:rsid w:val="215A3FB8"/>
    <w:rsid w:val="215B28B4"/>
    <w:rsid w:val="215E0188"/>
    <w:rsid w:val="21780319"/>
    <w:rsid w:val="217D7515"/>
    <w:rsid w:val="218C23D5"/>
    <w:rsid w:val="218D6357"/>
    <w:rsid w:val="21A01F36"/>
    <w:rsid w:val="21A50912"/>
    <w:rsid w:val="21A52CED"/>
    <w:rsid w:val="21B0386B"/>
    <w:rsid w:val="21B10EE1"/>
    <w:rsid w:val="21C07A49"/>
    <w:rsid w:val="21D670E1"/>
    <w:rsid w:val="21DC4C7C"/>
    <w:rsid w:val="21DF6E29"/>
    <w:rsid w:val="21F97A86"/>
    <w:rsid w:val="2219553C"/>
    <w:rsid w:val="221A0F29"/>
    <w:rsid w:val="222176FF"/>
    <w:rsid w:val="222A28B2"/>
    <w:rsid w:val="222C177E"/>
    <w:rsid w:val="223150A7"/>
    <w:rsid w:val="2237409B"/>
    <w:rsid w:val="2254586D"/>
    <w:rsid w:val="22594463"/>
    <w:rsid w:val="22607491"/>
    <w:rsid w:val="22661E18"/>
    <w:rsid w:val="226E59E6"/>
    <w:rsid w:val="226F1B0F"/>
    <w:rsid w:val="22AB7F9A"/>
    <w:rsid w:val="22BC3996"/>
    <w:rsid w:val="22BE16C2"/>
    <w:rsid w:val="22D23AEF"/>
    <w:rsid w:val="22E041E5"/>
    <w:rsid w:val="22E336D4"/>
    <w:rsid w:val="22EB2E4E"/>
    <w:rsid w:val="22F735C0"/>
    <w:rsid w:val="22FC77C2"/>
    <w:rsid w:val="23201AC7"/>
    <w:rsid w:val="23286546"/>
    <w:rsid w:val="23317A75"/>
    <w:rsid w:val="233772FB"/>
    <w:rsid w:val="234767EC"/>
    <w:rsid w:val="23591285"/>
    <w:rsid w:val="236B23C6"/>
    <w:rsid w:val="236D7987"/>
    <w:rsid w:val="237C4B4A"/>
    <w:rsid w:val="23873AD0"/>
    <w:rsid w:val="238E5A39"/>
    <w:rsid w:val="23946980"/>
    <w:rsid w:val="239D3302"/>
    <w:rsid w:val="23A27E1E"/>
    <w:rsid w:val="23CD5F4B"/>
    <w:rsid w:val="23D56485"/>
    <w:rsid w:val="23D850A8"/>
    <w:rsid w:val="23D93866"/>
    <w:rsid w:val="23E01807"/>
    <w:rsid w:val="23E14477"/>
    <w:rsid w:val="23E6649E"/>
    <w:rsid w:val="23EA7E94"/>
    <w:rsid w:val="23F77336"/>
    <w:rsid w:val="240548DD"/>
    <w:rsid w:val="2414298A"/>
    <w:rsid w:val="241E3DDD"/>
    <w:rsid w:val="242E49F8"/>
    <w:rsid w:val="242E5BA5"/>
    <w:rsid w:val="24424D6F"/>
    <w:rsid w:val="24557D0B"/>
    <w:rsid w:val="245A06E7"/>
    <w:rsid w:val="24687D0C"/>
    <w:rsid w:val="246B162F"/>
    <w:rsid w:val="246E4CCA"/>
    <w:rsid w:val="246F0421"/>
    <w:rsid w:val="2478494B"/>
    <w:rsid w:val="24811196"/>
    <w:rsid w:val="248B3DC6"/>
    <w:rsid w:val="24934DCB"/>
    <w:rsid w:val="24A06222"/>
    <w:rsid w:val="24B857DA"/>
    <w:rsid w:val="24CC37A4"/>
    <w:rsid w:val="24CE04D0"/>
    <w:rsid w:val="24D27753"/>
    <w:rsid w:val="24D7160D"/>
    <w:rsid w:val="24F755D9"/>
    <w:rsid w:val="24FA1B22"/>
    <w:rsid w:val="25140A5B"/>
    <w:rsid w:val="252362DF"/>
    <w:rsid w:val="253E6DFC"/>
    <w:rsid w:val="254812DA"/>
    <w:rsid w:val="255A50BB"/>
    <w:rsid w:val="256A2391"/>
    <w:rsid w:val="256C0154"/>
    <w:rsid w:val="256E7378"/>
    <w:rsid w:val="25724D54"/>
    <w:rsid w:val="258E329B"/>
    <w:rsid w:val="259169D5"/>
    <w:rsid w:val="259F7506"/>
    <w:rsid w:val="25A118BB"/>
    <w:rsid w:val="25A20CDD"/>
    <w:rsid w:val="25A333A6"/>
    <w:rsid w:val="25A97FF7"/>
    <w:rsid w:val="25B25468"/>
    <w:rsid w:val="25B45ECD"/>
    <w:rsid w:val="25B66AB0"/>
    <w:rsid w:val="25BF2CD2"/>
    <w:rsid w:val="25D21B45"/>
    <w:rsid w:val="25D75D94"/>
    <w:rsid w:val="25D82636"/>
    <w:rsid w:val="25FC18AC"/>
    <w:rsid w:val="25FE7621"/>
    <w:rsid w:val="26237CF0"/>
    <w:rsid w:val="2628048C"/>
    <w:rsid w:val="262D2176"/>
    <w:rsid w:val="264C4111"/>
    <w:rsid w:val="266F4F14"/>
    <w:rsid w:val="268219B3"/>
    <w:rsid w:val="26844A47"/>
    <w:rsid w:val="26875696"/>
    <w:rsid w:val="269105D9"/>
    <w:rsid w:val="26AB5F30"/>
    <w:rsid w:val="26AF6588"/>
    <w:rsid w:val="26B27150"/>
    <w:rsid w:val="26BA52F0"/>
    <w:rsid w:val="26C83E13"/>
    <w:rsid w:val="26DF1CD1"/>
    <w:rsid w:val="26EE0383"/>
    <w:rsid w:val="26F137C8"/>
    <w:rsid w:val="26FB2615"/>
    <w:rsid w:val="27343A60"/>
    <w:rsid w:val="273C35BC"/>
    <w:rsid w:val="2740738D"/>
    <w:rsid w:val="275C66A9"/>
    <w:rsid w:val="276415E7"/>
    <w:rsid w:val="276F35E2"/>
    <w:rsid w:val="27914671"/>
    <w:rsid w:val="2795723E"/>
    <w:rsid w:val="2796291F"/>
    <w:rsid w:val="27C271C8"/>
    <w:rsid w:val="27CA4CA3"/>
    <w:rsid w:val="27CD5A31"/>
    <w:rsid w:val="27CF37CC"/>
    <w:rsid w:val="27D36692"/>
    <w:rsid w:val="27DF2E66"/>
    <w:rsid w:val="27E10C26"/>
    <w:rsid w:val="27E96D27"/>
    <w:rsid w:val="28033197"/>
    <w:rsid w:val="280D4AB1"/>
    <w:rsid w:val="281045DB"/>
    <w:rsid w:val="28145B77"/>
    <w:rsid w:val="2816443E"/>
    <w:rsid w:val="281A3635"/>
    <w:rsid w:val="281D3C06"/>
    <w:rsid w:val="284B1EBF"/>
    <w:rsid w:val="284E7957"/>
    <w:rsid w:val="284F5D7B"/>
    <w:rsid w:val="2851239D"/>
    <w:rsid w:val="285237B0"/>
    <w:rsid w:val="28525B2B"/>
    <w:rsid w:val="285A19C5"/>
    <w:rsid w:val="286A2E67"/>
    <w:rsid w:val="28712778"/>
    <w:rsid w:val="28746E4F"/>
    <w:rsid w:val="287700B2"/>
    <w:rsid w:val="287F4175"/>
    <w:rsid w:val="28855A8D"/>
    <w:rsid w:val="288708D5"/>
    <w:rsid w:val="28B108BF"/>
    <w:rsid w:val="28B86A37"/>
    <w:rsid w:val="28C5750A"/>
    <w:rsid w:val="28C95FAD"/>
    <w:rsid w:val="28CF1B9D"/>
    <w:rsid w:val="28E81904"/>
    <w:rsid w:val="28E9235E"/>
    <w:rsid w:val="28FC41B2"/>
    <w:rsid w:val="29020731"/>
    <w:rsid w:val="290500D8"/>
    <w:rsid w:val="290A05A8"/>
    <w:rsid w:val="290E2002"/>
    <w:rsid w:val="291075CD"/>
    <w:rsid w:val="291234B9"/>
    <w:rsid w:val="291A741E"/>
    <w:rsid w:val="291F406A"/>
    <w:rsid w:val="292E0C74"/>
    <w:rsid w:val="29313B9A"/>
    <w:rsid w:val="29330463"/>
    <w:rsid w:val="29341AF5"/>
    <w:rsid w:val="294D0582"/>
    <w:rsid w:val="296208F8"/>
    <w:rsid w:val="29897CEB"/>
    <w:rsid w:val="298E3EC3"/>
    <w:rsid w:val="2992036C"/>
    <w:rsid w:val="29980B4E"/>
    <w:rsid w:val="29C57A44"/>
    <w:rsid w:val="29CB6C09"/>
    <w:rsid w:val="29D47FAA"/>
    <w:rsid w:val="29F516A3"/>
    <w:rsid w:val="29FE1653"/>
    <w:rsid w:val="2A21230B"/>
    <w:rsid w:val="2A2D3B86"/>
    <w:rsid w:val="2A443A5D"/>
    <w:rsid w:val="2A5158B3"/>
    <w:rsid w:val="2A52434C"/>
    <w:rsid w:val="2A726245"/>
    <w:rsid w:val="2A7E6E3F"/>
    <w:rsid w:val="2A8632A4"/>
    <w:rsid w:val="2A90736A"/>
    <w:rsid w:val="2A9113E7"/>
    <w:rsid w:val="2A95275C"/>
    <w:rsid w:val="2A9E4AB4"/>
    <w:rsid w:val="2AB0029F"/>
    <w:rsid w:val="2AC65584"/>
    <w:rsid w:val="2ADB3DDF"/>
    <w:rsid w:val="2ADC5B3F"/>
    <w:rsid w:val="2B040CCB"/>
    <w:rsid w:val="2B066689"/>
    <w:rsid w:val="2B16369D"/>
    <w:rsid w:val="2B3215EE"/>
    <w:rsid w:val="2B4D13E9"/>
    <w:rsid w:val="2B4D1CC4"/>
    <w:rsid w:val="2B5725BA"/>
    <w:rsid w:val="2B5C5333"/>
    <w:rsid w:val="2B5E24B8"/>
    <w:rsid w:val="2B60448A"/>
    <w:rsid w:val="2B626854"/>
    <w:rsid w:val="2B7E33D3"/>
    <w:rsid w:val="2B8114C1"/>
    <w:rsid w:val="2B822C6C"/>
    <w:rsid w:val="2B826F6A"/>
    <w:rsid w:val="2B943499"/>
    <w:rsid w:val="2B9C36EE"/>
    <w:rsid w:val="2BB06B98"/>
    <w:rsid w:val="2BB17CE8"/>
    <w:rsid w:val="2BB87DAD"/>
    <w:rsid w:val="2BBE1D0B"/>
    <w:rsid w:val="2BC65B0D"/>
    <w:rsid w:val="2BC96076"/>
    <w:rsid w:val="2BDF3689"/>
    <w:rsid w:val="2BE11DFE"/>
    <w:rsid w:val="2BE41392"/>
    <w:rsid w:val="2BEF70FE"/>
    <w:rsid w:val="2BFC063C"/>
    <w:rsid w:val="2C03480F"/>
    <w:rsid w:val="2C09107D"/>
    <w:rsid w:val="2C1B6938"/>
    <w:rsid w:val="2C2F0132"/>
    <w:rsid w:val="2C334BA9"/>
    <w:rsid w:val="2C351B6F"/>
    <w:rsid w:val="2C4B7C00"/>
    <w:rsid w:val="2C5E76BE"/>
    <w:rsid w:val="2C5F503A"/>
    <w:rsid w:val="2C6221E9"/>
    <w:rsid w:val="2C6C28B8"/>
    <w:rsid w:val="2C785423"/>
    <w:rsid w:val="2C800EDB"/>
    <w:rsid w:val="2C870859"/>
    <w:rsid w:val="2C9E7938"/>
    <w:rsid w:val="2CA755A3"/>
    <w:rsid w:val="2CB06E01"/>
    <w:rsid w:val="2CBA42B6"/>
    <w:rsid w:val="2CBE1674"/>
    <w:rsid w:val="2CD11D57"/>
    <w:rsid w:val="2CD46995"/>
    <w:rsid w:val="2CE329DC"/>
    <w:rsid w:val="2CEE6FFD"/>
    <w:rsid w:val="2CEF1BF0"/>
    <w:rsid w:val="2CF55D26"/>
    <w:rsid w:val="2D08359B"/>
    <w:rsid w:val="2D221CA6"/>
    <w:rsid w:val="2D244EDC"/>
    <w:rsid w:val="2D502E90"/>
    <w:rsid w:val="2D51654B"/>
    <w:rsid w:val="2D6C7862"/>
    <w:rsid w:val="2D6E59ED"/>
    <w:rsid w:val="2D733252"/>
    <w:rsid w:val="2D756CC9"/>
    <w:rsid w:val="2D7B0E4D"/>
    <w:rsid w:val="2D7D020C"/>
    <w:rsid w:val="2D8142F5"/>
    <w:rsid w:val="2D81779D"/>
    <w:rsid w:val="2D842196"/>
    <w:rsid w:val="2D8771EA"/>
    <w:rsid w:val="2D877F29"/>
    <w:rsid w:val="2D8B374B"/>
    <w:rsid w:val="2D914498"/>
    <w:rsid w:val="2D96534C"/>
    <w:rsid w:val="2D9916D1"/>
    <w:rsid w:val="2DA32D03"/>
    <w:rsid w:val="2DAA2FA5"/>
    <w:rsid w:val="2DAC51E2"/>
    <w:rsid w:val="2DAE1B1D"/>
    <w:rsid w:val="2DB7074E"/>
    <w:rsid w:val="2DBA47C7"/>
    <w:rsid w:val="2DE909DB"/>
    <w:rsid w:val="2DF86E07"/>
    <w:rsid w:val="2DFA2468"/>
    <w:rsid w:val="2E0A0082"/>
    <w:rsid w:val="2E135C63"/>
    <w:rsid w:val="2E153B17"/>
    <w:rsid w:val="2E1C1D15"/>
    <w:rsid w:val="2E1C2EF5"/>
    <w:rsid w:val="2E2370BA"/>
    <w:rsid w:val="2E254FB4"/>
    <w:rsid w:val="2E3618CB"/>
    <w:rsid w:val="2E3636F3"/>
    <w:rsid w:val="2E3A1AD2"/>
    <w:rsid w:val="2E4B675D"/>
    <w:rsid w:val="2E4E7B7D"/>
    <w:rsid w:val="2E533295"/>
    <w:rsid w:val="2E552A21"/>
    <w:rsid w:val="2E714795"/>
    <w:rsid w:val="2E7248AF"/>
    <w:rsid w:val="2E7C327C"/>
    <w:rsid w:val="2E803843"/>
    <w:rsid w:val="2E8E6C04"/>
    <w:rsid w:val="2E9C1044"/>
    <w:rsid w:val="2EA5585E"/>
    <w:rsid w:val="2EA62669"/>
    <w:rsid w:val="2EAF2DEF"/>
    <w:rsid w:val="2EB031D0"/>
    <w:rsid w:val="2EC1437A"/>
    <w:rsid w:val="2EC747EB"/>
    <w:rsid w:val="2ED033F7"/>
    <w:rsid w:val="2ED56E26"/>
    <w:rsid w:val="2EFE7778"/>
    <w:rsid w:val="2F045C96"/>
    <w:rsid w:val="2F241D6F"/>
    <w:rsid w:val="2F2A1892"/>
    <w:rsid w:val="2F3308D1"/>
    <w:rsid w:val="2F340784"/>
    <w:rsid w:val="2F350554"/>
    <w:rsid w:val="2F430E60"/>
    <w:rsid w:val="2F504C07"/>
    <w:rsid w:val="2F52290D"/>
    <w:rsid w:val="2F5B2FAA"/>
    <w:rsid w:val="2F5F75BC"/>
    <w:rsid w:val="2F6131BD"/>
    <w:rsid w:val="2F6B0616"/>
    <w:rsid w:val="2F6B3034"/>
    <w:rsid w:val="2F7E1225"/>
    <w:rsid w:val="2F813181"/>
    <w:rsid w:val="2F827EFB"/>
    <w:rsid w:val="2F836242"/>
    <w:rsid w:val="2F85764A"/>
    <w:rsid w:val="2F857B3B"/>
    <w:rsid w:val="2F893C2F"/>
    <w:rsid w:val="2F9D65AC"/>
    <w:rsid w:val="2F9D7176"/>
    <w:rsid w:val="2FA04227"/>
    <w:rsid w:val="2FAE7DDE"/>
    <w:rsid w:val="2FB01EE1"/>
    <w:rsid w:val="2FB031BC"/>
    <w:rsid w:val="2FB849DB"/>
    <w:rsid w:val="2FC01F1B"/>
    <w:rsid w:val="2FC763C0"/>
    <w:rsid w:val="2FFE3108"/>
    <w:rsid w:val="30111D0B"/>
    <w:rsid w:val="30257BBE"/>
    <w:rsid w:val="30311A0A"/>
    <w:rsid w:val="30322FA2"/>
    <w:rsid w:val="303F41F1"/>
    <w:rsid w:val="304C3C7E"/>
    <w:rsid w:val="30563023"/>
    <w:rsid w:val="305E7E82"/>
    <w:rsid w:val="307123D3"/>
    <w:rsid w:val="30761915"/>
    <w:rsid w:val="30836C20"/>
    <w:rsid w:val="308A4900"/>
    <w:rsid w:val="308D155D"/>
    <w:rsid w:val="30AB6BE6"/>
    <w:rsid w:val="30CA209C"/>
    <w:rsid w:val="30CF3FF2"/>
    <w:rsid w:val="30D275D7"/>
    <w:rsid w:val="30D8625B"/>
    <w:rsid w:val="30EF57B0"/>
    <w:rsid w:val="30F141D5"/>
    <w:rsid w:val="30F6750D"/>
    <w:rsid w:val="31056817"/>
    <w:rsid w:val="311409E3"/>
    <w:rsid w:val="311449BF"/>
    <w:rsid w:val="311C5683"/>
    <w:rsid w:val="311E1FA2"/>
    <w:rsid w:val="312146C2"/>
    <w:rsid w:val="31217946"/>
    <w:rsid w:val="31370584"/>
    <w:rsid w:val="313F20C9"/>
    <w:rsid w:val="315054B5"/>
    <w:rsid w:val="31565203"/>
    <w:rsid w:val="31684E79"/>
    <w:rsid w:val="316B06A1"/>
    <w:rsid w:val="31747EED"/>
    <w:rsid w:val="318C02C8"/>
    <w:rsid w:val="31931849"/>
    <w:rsid w:val="31AB087B"/>
    <w:rsid w:val="31B0300B"/>
    <w:rsid w:val="31B66C1B"/>
    <w:rsid w:val="31CC0770"/>
    <w:rsid w:val="31CD6441"/>
    <w:rsid w:val="31D4476B"/>
    <w:rsid w:val="31DE30BA"/>
    <w:rsid w:val="31E024F5"/>
    <w:rsid w:val="31E24671"/>
    <w:rsid w:val="31E764E1"/>
    <w:rsid w:val="31E833B3"/>
    <w:rsid w:val="32091D00"/>
    <w:rsid w:val="32250C5B"/>
    <w:rsid w:val="322C2BC0"/>
    <w:rsid w:val="3256560E"/>
    <w:rsid w:val="32862911"/>
    <w:rsid w:val="32881789"/>
    <w:rsid w:val="32884DC5"/>
    <w:rsid w:val="328A5BE4"/>
    <w:rsid w:val="32A94283"/>
    <w:rsid w:val="32BE5EC4"/>
    <w:rsid w:val="32C211DD"/>
    <w:rsid w:val="32C636CA"/>
    <w:rsid w:val="32D85959"/>
    <w:rsid w:val="32DC64F2"/>
    <w:rsid w:val="32F27CC9"/>
    <w:rsid w:val="32F54AC5"/>
    <w:rsid w:val="33060590"/>
    <w:rsid w:val="33083837"/>
    <w:rsid w:val="33191C71"/>
    <w:rsid w:val="331D7715"/>
    <w:rsid w:val="331E33B3"/>
    <w:rsid w:val="331F5A6C"/>
    <w:rsid w:val="33220DF2"/>
    <w:rsid w:val="332225CB"/>
    <w:rsid w:val="33242DD7"/>
    <w:rsid w:val="33250325"/>
    <w:rsid w:val="332576CD"/>
    <w:rsid w:val="332C2A94"/>
    <w:rsid w:val="333A7C3C"/>
    <w:rsid w:val="333C502D"/>
    <w:rsid w:val="333F5933"/>
    <w:rsid w:val="335746BB"/>
    <w:rsid w:val="335F1454"/>
    <w:rsid w:val="33620403"/>
    <w:rsid w:val="3365599C"/>
    <w:rsid w:val="33751F25"/>
    <w:rsid w:val="337A5876"/>
    <w:rsid w:val="337C5593"/>
    <w:rsid w:val="33860E6E"/>
    <w:rsid w:val="33953C2E"/>
    <w:rsid w:val="33987EAF"/>
    <w:rsid w:val="339C12CF"/>
    <w:rsid w:val="339F04B3"/>
    <w:rsid w:val="33A46CC8"/>
    <w:rsid w:val="33AA1956"/>
    <w:rsid w:val="33B02060"/>
    <w:rsid w:val="33BB6687"/>
    <w:rsid w:val="33E9435A"/>
    <w:rsid w:val="33F54491"/>
    <w:rsid w:val="33F86E45"/>
    <w:rsid w:val="33F95A1F"/>
    <w:rsid w:val="34062CDA"/>
    <w:rsid w:val="34145884"/>
    <w:rsid w:val="342B2163"/>
    <w:rsid w:val="342F381B"/>
    <w:rsid w:val="34336C3C"/>
    <w:rsid w:val="34353C98"/>
    <w:rsid w:val="34372C3B"/>
    <w:rsid w:val="34405595"/>
    <w:rsid w:val="34495975"/>
    <w:rsid w:val="345067C1"/>
    <w:rsid w:val="34682A02"/>
    <w:rsid w:val="346B20A5"/>
    <w:rsid w:val="346E4E5A"/>
    <w:rsid w:val="346F6292"/>
    <w:rsid w:val="347A5C94"/>
    <w:rsid w:val="349B4E01"/>
    <w:rsid w:val="34A11DD6"/>
    <w:rsid w:val="34AB6356"/>
    <w:rsid w:val="34B56933"/>
    <w:rsid w:val="34B7519F"/>
    <w:rsid w:val="34D311C2"/>
    <w:rsid w:val="34D528FC"/>
    <w:rsid w:val="34E2361A"/>
    <w:rsid w:val="34E925B2"/>
    <w:rsid w:val="34EB662C"/>
    <w:rsid w:val="34ED400B"/>
    <w:rsid w:val="34F034CC"/>
    <w:rsid w:val="35132343"/>
    <w:rsid w:val="35140BF8"/>
    <w:rsid w:val="352B6287"/>
    <w:rsid w:val="352D4F24"/>
    <w:rsid w:val="35342CAF"/>
    <w:rsid w:val="353958D9"/>
    <w:rsid w:val="353D2C3D"/>
    <w:rsid w:val="3565133F"/>
    <w:rsid w:val="356E5CED"/>
    <w:rsid w:val="3572248B"/>
    <w:rsid w:val="3575596F"/>
    <w:rsid w:val="358727B8"/>
    <w:rsid w:val="358B55EE"/>
    <w:rsid w:val="358F3395"/>
    <w:rsid w:val="35905505"/>
    <w:rsid w:val="35927474"/>
    <w:rsid w:val="35982527"/>
    <w:rsid w:val="35A661D4"/>
    <w:rsid w:val="35B4037B"/>
    <w:rsid w:val="35BE33E0"/>
    <w:rsid w:val="35C43FA0"/>
    <w:rsid w:val="35E25B89"/>
    <w:rsid w:val="35E558AE"/>
    <w:rsid w:val="35FF622B"/>
    <w:rsid w:val="36001971"/>
    <w:rsid w:val="360A0B9D"/>
    <w:rsid w:val="360C63B5"/>
    <w:rsid w:val="36111EC7"/>
    <w:rsid w:val="361430A1"/>
    <w:rsid w:val="3614778B"/>
    <w:rsid w:val="361C3762"/>
    <w:rsid w:val="361E0341"/>
    <w:rsid w:val="362313D4"/>
    <w:rsid w:val="3639571C"/>
    <w:rsid w:val="36403145"/>
    <w:rsid w:val="3641434F"/>
    <w:rsid w:val="364C06DE"/>
    <w:rsid w:val="36590FCF"/>
    <w:rsid w:val="366952D5"/>
    <w:rsid w:val="366B706A"/>
    <w:rsid w:val="36725CA6"/>
    <w:rsid w:val="367A38DC"/>
    <w:rsid w:val="368A30EC"/>
    <w:rsid w:val="36963187"/>
    <w:rsid w:val="3699326F"/>
    <w:rsid w:val="36AC77DB"/>
    <w:rsid w:val="36AF2723"/>
    <w:rsid w:val="36C000BB"/>
    <w:rsid w:val="36C16549"/>
    <w:rsid w:val="36C8293C"/>
    <w:rsid w:val="36D02124"/>
    <w:rsid w:val="36D949A8"/>
    <w:rsid w:val="36DC4B60"/>
    <w:rsid w:val="36DC5D24"/>
    <w:rsid w:val="36E82081"/>
    <w:rsid w:val="36F05BAE"/>
    <w:rsid w:val="36F54332"/>
    <w:rsid w:val="36F61CAC"/>
    <w:rsid w:val="36FE0866"/>
    <w:rsid w:val="37381BFF"/>
    <w:rsid w:val="37381D92"/>
    <w:rsid w:val="3739176E"/>
    <w:rsid w:val="373A6048"/>
    <w:rsid w:val="37456506"/>
    <w:rsid w:val="37473210"/>
    <w:rsid w:val="374832F9"/>
    <w:rsid w:val="37485946"/>
    <w:rsid w:val="37497D79"/>
    <w:rsid w:val="375A6895"/>
    <w:rsid w:val="375C66C7"/>
    <w:rsid w:val="37607BF1"/>
    <w:rsid w:val="37714F5A"/>
    <w:rsid w:val="377733FF"/>
    <w:rsid w:val="3783017E"/>
    <w:rsid w:val="37891001"/>
    <w:rsid w:val="379E4060"/>
    <w:rsid w:val="37BC1154"/>
    <w:rsid w:val="37CD3299"/>
    <w:rsid w:val="37D106D8"/>
    <w:rsid w:val="37E4185D"/>
    <w:rsid w:val="37E56149"/>
    <w:rsid w:val="37E7700F"/>
    <w:rsid w:val="37ED382C"/>
    <w:rsid w:val="37FC1495"/>
    <w:rsid w:val="380160CE"/>
    <w:rsid w:val="38030925"/>
    <w:rsid w:val="380B4C61"/>
    <w:rsid w:val="380E4013"/>
    <w:rsid w:val="38127BBC"/>
    <w:rsid w:val="381A5D16"/>
    <w:rsid w:val="381C615D"/>
    <w:rsid w:val="381F53D8"/>
    <w:rsid w:val="381F73A9"/>
    <w:rsid w:val="38460DA8"/>
    <w:rsid w:val="384764A4"/>
    <w:rsid w:val="384B37F9"/>
    <w:rsid w:val="385E7BFF"/>
    <w:rsid w:val="38665FB4"/>
    <w:rsid w:val="38703726"/>
    <w:rsid w:val="38704024"/>
    <w:rsid w:val="38782666"/>
    <w:rsid w:val="387C7715"/>
    <w:rsid w:val="387D57F1"/>
    <w:rsid w:val="388F5F35"/>
    <w:rsid w:val="38AA3292"/>
    <w:rsid w:val="38BC0A57"/>
    <w:rsid w:val="38CB778D"/>
    <w:rsid w:val="38D0228C"/>
    <w:rsid w:val="38DF050C"/>
    <w:rsid w:val="38E870FF"/>
    <w:rsid w:val="38E90EC1"/>
    <w:rsid w:val="38F35A01"/>
    <w:rsid w:val="38F74731"/>
    <w:rsid w:val="38F77F9E"/>
    <w:rsid w:val="38F805C1"/>
    <w:rsid w:val="390A0A77"/>
    <w:rsid w:val="391838F8"/>
    <w:rsid w:val="391B682D"/>
    <w:rsid w:val="39203E6C"/>
    <w:rsid w:val="39310B04"/>
    <w:rsid w:val="393C00C9"/>
    <w:rsid w:val="39406294"/>
    <w:rsid w:val="3943416E"/>
    <w:rsid w:val="394A2C23"/>
    <w:rsid w:val="394F666E"/>
    <w:rsid w:val="39514A06"/>
    <w:rsid w:val="395A0B2F"/>
    <w:rsid w:val="3977144D"/>
    <w:rsid w:val="398B092C"/>
    <w:rsid w:val="399D79D2"/>
    <w:rsid w:val="39A95F04"/>
    <w:rsid w:val="39AB34B2"/>
    <w:rsid w:val="39B41278"/>
    <w:rsid w:val="39B479C2"/>
    <w:rsid w:val="39D16A4D"/>
    <w:rsid w:val="39E12A8B"/>
    <w:rsid w:val="39E31555"/>
    <w:rsid w:val="3A113E44"/>
    <w:rsid w:val="3A202AC6"/>
    <w:rsid w:val="3A294F38"/>
    <w:rsid w:val="3A2B2C40"/>
    <w:rsid w:val="3A3D4361"/>
    <w:rsid w:val="3A3D49B9"/>
    <w:rsid w:val="3A50048B"/>
    <w:rsid w:val="3A6B4916"/>
    <w:rsid w:val="3A781B1F"/>
    <w:rsid w:val="3A7C03F1"/>
    <w:rsid w:val="3A877E5B"/>
    <w:rsid w:val="3A937FCB"/>
    <w:rsid w:val="3AAA20EA"/>
    <w:rsid w:val="3AB40CE8"/>
    <w:rsid w:val="3AB75B25"/>
    <w:rsid w:val="3AB80C99"/>
    <w:rsid w:val="3ABD4884"/>
    <w:rsid w:val="3AC37572"/>
    <w:rsid w:val="3AC91775"/>
    <w:rsid w:val="3AD8505D"/>
    <w:rsid w:val="3ADA0787"/>
    <w:rsid w:val="3ADB6E69"/>
    <w:rsid w:val="3AE16B2D"/>
    <w:rsid w:val="3AE23C7C"/>
    <w:rsid w:val="3AE42651"/>
    <w:rsid w:val="3AE5069F"/>
    <w:rsid w:val="3AF665FB"/>
    <w:rsid w:val="3AFC33C4"/>
    <w:rsid w:val="3B0300C1"/>
    <w:rsid w:val="3B070907"/>
    <w:rsid w:val="3B09531C"/>
    <w:rsid w:val="3B164B17"/>
    <w:rsid w:val="3B182850"/>
    <w:rsid w:val="3B1D29E3"/>
    <w:rsid w:val="3B21589C"/>
    <w:rsid w:val="3B2D51CE"/>
    <w:rsid w:val="3B3E153A"/>
    <w:rsid w:val="3B6264A3"/>
    <w:rsid w:val="3B6D0288"/>
    <w:rsid w:val="3B6D3CD8"/>
    <w:rsid w:val="3B7439EF"/>
    <w:rsid w:val="3B75275B"/>
    <w:rsid w:val="3B771198"/>
    <w:rsid w:val="3B7A2919"/>
    <w:rsid w:val="3B8A58D1"/>
    <w:rsid w:val="3B8A640C"/>
    <w:rsid w:val="3B926B70"/>
    <w:rsid w:val="3B9D5C7F"/>
    <w:rsid w:val="3BAB6822"/>
    <w:rsid w:val="3BAC28FD"/>
    <w:rsid w:val="3BAF353C"/>
    <w:rsid w:val="3BB2462F"/>
    <w:rsid w:val="3BBB2E7D"/>
    <w:rsid w:val="3BBC2B79"/>
    <w:rsid w:val="3BC33B92"/>
    <w:rsid w:val="3BC60EE5"/>
    <w:rsid w:val="3BD3056A"/>
    <w:rsid w:val="3BEB6A99"/>
    <w:rsid w:val="3BF94AC6"/>
    <w:rsid w:val="3BFD668C"/>
    <w:rsid w:val="3C061ED5"/>
    <w:rsid w:val="3C0D2C32"/>
    <w:rsid w:val="3C234D0D"/>
    <w:rsid w:val="3C2725F2"/>
    <w:rsid w:val="3C2A4501"/>
    <w:rsid w:val="3C3C549C"/>
    <w:rsid w:val="3C3E3CEB"/>
    <w:rsid w:val="3C46587D"/>
    <w:rsid w:val="3C466352"/>
    <w:rsid w:val="3C48452D"/>
    <w:rsid w:val="3C5A443E"/>
    <w:rsid w:val="3C6533D5"/>
    <w:rsid w:val="3C6D1583"/>
    <w:rsid w:val="3C6F5442"/>
    <w:rsid w:val="3C795624"/>
    <w:rsid w:val="3C7B620A"/>
    <w:rsid w:val="3C820250"/>
    <w:rsid w:val="3C8C70F6"/>
    <w:rsid w:val="3CB67FA4"/>
    <w:rsid w:val="3CBC465A"/>
    <w:rsid w:val="3CC63035"/>
    <w:rsid w:val="3CC7218E"/>
    <w:rsid w:val="3CD66855"/>
    <w:rsid w:val="3CDC3AEC"/>
    <w:rsid w:val="3CE303C8"/>
    <w:rsid w:val="3CF752E1"/>
    <w:rsid w:val="3D037F68"/>
    <w:rsid w:val="3D042BC6"/>
    <w:rsid w:val="3D04728C"/>
    <w:rsid w:val="3D062229"/>
    <w:rsid w:val="3D0923CA"/>
    <w:rsid w:val="3D095D2D"/>
    <w:rsid w:val="3D0C2A58"/>
    <w:rsid w:val="3D15435B"/>
    <w:rsid w:val="3D1A3580"/>
    <w:rsid w:val="3D1C60E4"/>
    <w:rsid w:val="3D1F79FE"/>
    <w:rsid w:val="3D2F4310"/>
    <w:rsid w:val="3D306CD0"/>
    <w:rsid w:val="3D3E6CBC"/>
    <w:rsid w:val="3D4D22AD"/>
    <w:rsid w:val="3D553D45"/>
    <w:rsid w:val="3D65578B"/>
    <w:rsid w:val="3D6E013A"/>
    <w:rsid w:val="3D6E5203"/>
    <w:rsid w:val="3D706D12"/>
    <w:rsid w:val="3D7810D9"/>
    <w:rsid w:val="3D887E58"/>
    <w:rsid w:val="3D96703C"/>
    <w:rsid w:val="3D9D1315"/>
    <w:rsid w:val="3DA739D3"/>
    <w:rsid w:val="3DA77E60"/>
    <w:rsid w:val="3DB23599"/>
    <w:rsid w:val="3DC06163"/>
    <w:rsid w:val="3DC56BB4"/>
    <w:rsid w:val="3DC7419C"/>
    <w:rsid w:val="3DE079DA"/>
    <w:rsid w:val="3DEA30EA"/>
    <w:rsid w:val="3DF8356B"/>
    <w:rsid w:val="3E0E598A"/>
    <w:rsid w:val="3E276BD1"/>
    <w:rsid w:val="3E4842C1"/>
    <w:rsid w:val="3E4E5E11"/>
    <w:rsid w:val="3E5D36A0"/>
    <w:rsid w:val="3E65499D"/>
    <w:rsid w:val="3E7038A7"/>
    <w:rsid w:val="3E725580"/>
    <w:rsid w:val="3E730CA9"/>
    <w:rsid w:val="3E7F318E"/>
    <w:rsid w:val="3E882625"/>
    <w:rsid w:val="3E9A0128"/>
    <w:rsid w:val="3E9B2E1D"/>
    <w:rsid w:val="3EAE0DB9"/>
    <w:rsid w:val="3EAF763C"/>
    <w:rsid w:val="3EBD49A2"/>
    <w:rsid w:val="3ED21F4A"/>
    <w:rsid w:val="3ED4175D"/>
    <w:rsid w:val="3ED63C05"/>
    <w:rsid w:val="3EE9246D"/>
    <w:rsid w:val="3EE97958"/>
    <w:rsid w:val="3EEA6B3E"/>
    <w:rsid w:val="3EF53665"/>
    <w:rsid w:val="3F022D10"/>
    <w:rsid w:val="3F0F70CA"/>
    <w:rsid w:val="3F2006FA"/>
    <w:rsid w:val="3F2F10F0"/>
    <w:rsid w:val="3F30096A"/>
    <w:rsid w:val="3F3773F7"/>
    <w:rsid w:val="3F3B1A9C"/>
    <w:rsid w:val="3F407769"/>
    <w:rsid w:val="3F541806"/>
    <w:rsid w:val="3F60234D"/>
    <w:rsid w:val="3F7235C1"/>
    <w:rsid w:val="3F8325F5"/>
    <w:rsid w:val="3F867F55"/>
    <w:rsid w:val="3F9B1C2A"/>
    <w:rsid w:val="3FA06D17"/>
    <w:rsid w:val="3FA43FAF"/>
    <w:rsid w:val="3FA73A91"/>
    <w:rsid w:val="3FB45FF2"/>
    <w:rsid w:val="3FC47532"/>
    <w:rsid w:val="3FCE4BE1"/>
    <w:rsid w:val="3FE91540"/>
    <w:rsid w:val="400705E9"/>
    <w:rsid w:val="401B0977"/>
    <w:rsid w:val="401B5B52"/>
    <w:rsid w:val="403E1059"/>
    <w:rsid w:val="4042438E"/>
    <w:rsid w:val="40473D69"/>
    <w:rsid w:val="404D2957"/>
    <w:rsid w:val="40550CA4"/>
    <w:rsid w:val="405D45E5"/>
    <w:rsid w:val="40640811"/>
    <w:rsid w:val="406D3037"/>
    <w:rsid w:val="406F27A5"/>
    <w:rsid w:val="40712ED7"/>
    <w:rsid w:val="407A0FB4"/>
    <w:rsid w:val="40812C1A"/>
    <w:rsid w:val="40865EEB"/>
    <w:rsid w:val="40A37594"/>
    <w:rsid w:val="40AB1D13"/>
    <w:rsid w:val="40B33548"/>
    <w:rsid w:val="40D74C1E"/>
    <w:rsid w:val="40E276BC"/>
    <w:rsid w:val="40E279A3"/>
    <w:rsid w:val="40E61849"/>
    <w:rsid w:val="40E92E25"/>
    <w:rsid w:val="40EB354A"/>
    <w:rsid w:val="40EE050D"/>
    <w:rsid w:val="410D1A54"/>
    <w:rsid w:val="41131243"/>
    <w:rsid w:val="413007D9"/>
    <w:rsid w:val="41385384"/>
    <w:rsid w:val="413B4B7A"/>
    <w:rsid w:val="4142215A"/>
    <w:rsid w:val="41441A3D"/>
    <w:rsid w:val="41471000"/>
    <w:rsid w:val="414A3221"/>
    <w:rsid w:val="415B1E06"/>
    <w:rsid w:val="415C005D"/>
    <w:rsid w:val="41604AA0"/>
    <w:rsid w:val="41622299"/>
    <w:rsid w:val="41654FB9"/>
    <w:rsid w:val="41657312"/>
    <w:rsid w:val="41657325"/>
    <w:rsid w:val="41682AA2"/>
    <w:rsid w:val="416B5CF5"/>
    <w:rsid w:val="41735B63"/>
    <w:rsid w:val="417F715C"/>
    <w:rsid w:val="418720B0"/>
    <w:rsid w:val="41880EE3"/>
    <w:rsid w:val="41914DF6"/>
    <w:rsid w:val="419E45A1"/>
    <w:rsid w:val="41A134AB"/>
    <w:rsid w:val="41A32F47"/>
    <w:rsid w:val="41AE6656"/>
    <w:rsid w:val="41D2550B"/>
    <w:rsid w:val="41D454F4"/>
    <w:rsid w:val="41D72325"/>
    <w:rsid w:val="41E70042"/>
    <w:rsid w:val="41F14537"/>
    <w:rsid w:val="421717EF"/>
    <w:rsid w:val="42205FB2"/>
    <w:rsid w:val="42224854"/>
    <w:rsid w:val="42242A1A"/>
    <w:rsid w:val="42414B29"/>
    <w:rsid w:val="42476B78"/>
    <w:rsid w:val="42567A64"/>
    <w:rsid w:val="42587262"/>
    <w:rsid w:val="426A1897"/>
    <w:rsid w:val="42706866"/>
    <w:rsid w:val="42717315"/>
    <w:rsid w:val="42771FC5"/>
    <w:rsid w:val="427F0EB0"/>
    <w:rsid w:val="42830E65"/>
    <w:rsid w:val="428F6B44"/>
    <w:rsid w:val="42A430C7"/>
    <w:rsid w:val="42AF2F61"/>
    <w:rsid w:val="42B82880"/>
    <w:rsid w:val="42C3455D"/>
    <w:rsid w:val="42C738F6"/>
    <w:rsid w:val="42C7630E"/>
    <w:rsid w:val="42D85CBA"/>
    <w:rsid w:val="42DA78C7"/>
    <w:rsid w:val="42E3660E"/>
    <w:rsid w:val="42E426C1"/>
    <w:rsid w:val="42F17169"/>
    <w:rsid w:val="42FF7206"/>
    <w:rsid w:val="43092D4A"/>
    <w:rsid w:val="430E7AC6"/>
    <w:rsid w:val="431008BB"/>
    <w:rsid w:val="43194C2C"/>
    <w:rsid w:val="431D7259"/>
    <w:rsid w:val="43302F5D"/>
    <w:rsid w:val="434265EA"/>
    <w:rsid w:val="43502873"/>
    <w:rsid w:val="43563929"/>
    <w:rsid w:val="43570761"/>
    <w:rsid w:val="436025BA"/>
    <w:rsid w:val="43616D98"/>
    <w:rsid w:val="43736812"/>
    <w:rsid w:val="437C78E6"/>
    <w:rsid w:val="438B2268"/>
    <w:rsid w:val="43952C7E"/>
    <w:rsid w:val="439C2A18"/>
    <w:rsid w:val="43A11C55"/>
    <w:rsid w:val="43A259D0"/>
    <w:rsid w:val="43A53AC6"/>
    <w:rsid w:val="43AA6830"/>
    <w:rsid w:val="43AD3825"/>
    <w:rsid w:val="43C054A6"/>
    <w:rsid w:val="43C5198B"/>
    <w:rsid w:val="43C6387B"/>
    <w:rsid w:val="43DA0AE1"/>
    <w:rsid w:val="43DD3AF9"/>
    <w:rsid w:val="43E85EED"/>
    <w:rsid w:val="43F32881"/>
    <w:rsid w:val="440360D4"/>
    <w:rsid w:val="440372E9"/>
    <w:rsid w:val="440526EB"/>
    <w:rsid w:val="44180FB4"/>
    <w:rsid w:val="441D68D4"/>
    <w:rsid w:val="441F436D"/>
    <w:rsid w:val="44211627"/>
    <w:rsid w:val="44231672"/>
    <w:rsid w:val="44285B30"/>
    <w:rsid w:val="44323017"/>
    <w:rsid w:val="44337B88"/>
    <w:rsid w:val="443E46C0"/>
    <w:rsid w:val="44415562"/>
    <w:rsid w:val="4445531E"/>
    <w:rsid w:val="4446339E"/>
    <w:rsid w:val="44682B18"/>
    <w:rsid w:val="446D6B35"/>
    <w:rsid w:val="447B7A81"/>
    <w:rsid w:val="44800261"/>
    <w:rsid w:val="44846C16"/>
    <w:rsid w:val="448D77C2"/>
    <w:rsid w:val="448F52B0"/>
    <w:rsid w:val="44A654F7"/>
    <w:rsid w:val="44B72980"/>
    <w:rsid w:val="44C340D3"/>
    <w:rsid w:val="44C67E98"/>
    <w:rsid w:val="44CB3ED3"/>
    <w:rsid w:val="44CC25F1"/>
    <w:rsid w:val="44CC4A3C"/>
    <w:rsid w:val="44D46B73"/>
    <w:rsid w:val="44D91B5E"/>
    <w:rsid w:val="44DA3AFF"/>
    <w:rsid w:val="44E178BB"/>
    <w:rsid w:val="44FD0EF9"/>
    <w:rsid w:val="45017A56"/>
    <w:rsid w:val="45052EB3"/>
    <w:rsid w:val="45083FB2"/>
    <w:rsid w:val="451439BE"/>
    <w:rsid w:val="453A48BA"/>
    <w:rsid w:val="455F5CD4"/>
    <w:rsid w:val="456403E4"/>
    <w:rsid w:val="456F29C5"/>
    <w:rsid w:val="457026AE"/>
    <w:rsid w:val="45725401"/>
    <w:rsid w:val="45825C26"/>
    <w:rsid w:val="45880635"/>
    <w:rsid w:val="45AF5E4B"/>
    <w:rsid w:val="45B13A7D"/>
    <w:rsid w:val="45B27A2A"/>
    <w:rsid w:val="45B5065F"/>
    <w:rsid w:val="45BB4CF3"/>
    <w:rsid w:val="45C11F25"/>
    <w:rsid w:val="45D202E0"/>
    <w:rsid w:val="45D26EA7"/>
    <w:rsid w:val="45D911CC"/>
    <w:rsid w:val="45E730A6"/>
    <w:rsid w:val="45E8481D"/>
    <w:rsid w:val="45F32228"/>
    <w:rsid w:val="45F45081"/>
    <w:rsid w:val="45F612CC"/>
    <w:rsid w:val="45F835A9"/>
    <w:rsid w:val="45F97CB9"/>
    <w:rsid w:val="45FF7C4B"/>
    <w:rsid w:val="460276F8"/>
    <w:rsid w:val="46035145"/>
    <w:rsid w:val="460850FB"/>
    <w:rsid w:val="461F2215"/>
    <w:rsid w:val="46241AD0"/>
    <w:rsid w:val="462A0EE5"/>
    <w:rsid w:val="462A6F56"/>
    <w:rsid w:val="462D169F"/>
    <w:rsid w:val="462F3D98"/>
    <w:rsid w:val="46411A4A"/>
    <w:rsid w:val="46414B6A"/>
    <w:rsid w:val="46453691"/>
    <w:rsid w:val="464B6101"/>
    <w:rsid w:val="467B27AC"/>
    <w:rsid w:val="468D7C45"/>
    <w:rsid w:val="46971DAE"/>
    <w:rsid w:val="46AC0B12"/>
    <w:rsid w:val="46EB5DCA"/>
    <w:rsid w:val="46F22A9A"/>
    <w:rsid w:val="46F55EAD"/>
    <w:rsid w:val="47064ACC"/>
    <w:rsid w:val="47140694"/>
    <w:rsid w:val="471462FD"/>
    <w:rsid w:val="47294836"/>
    <w:rsid w:val="474A3BEB"/>
    <w:rsid w:val="474D4056"/>
    <w:rsid w:val="475D5ACD"/>
    <w:rsid w:val="475E4E01"/>
    <w:rsid w:val="4762166E"/>
    <w:rsid w:val="476A4799"/>
    <w:rsid w:val="47745C3F"/>
    <w:rsid w:val="47861567"/>
    <w:rsid w:val="478B4105"/>
    <w:rsid w:val="479E659D"/>
    <w:rsid w:val="47A5777A"/>
    <w:rsid w:val="47AC7343"/>
    <w:rsid w:val="47B15BEA"/>
    <w:rsid w:val="47C75292"/>
    <w:rsid w:val="47D60254"/>
    <w:rsid w:val="47DF168F"/>
    <w:rsid w:val="47E56BF4"/>
    <w:rsid w:val="47FC0CCC"/>
    <w:rsid w:val="48002730"/>
    <w:rsid w:val="4801433E"/>
    <w:rsid w:val="48134CB2"/>
    <w:rsid w:val="48162210"/>
    <w:rsid w:val="481676E3"/>
    <w:rsid w:val="481A6E11"/>
    <w:rsid w:val="481C3241"/>
    <w:rsid w:val="48315BE1"/>
    <w:rsid w:val="483857F6"/>
    <w:rsid w:val="483A1234"/>
    <w:rsid w:val="48402D5F"/>
    <w:rsid w:val="48497F71"/>
    <w:rsid w:val="48504A84"/>
    <w:rsid w:val="485209EB"/>
    <w:rsid w:val="48525F9D"/>
    <w:rsid w:val="4858096E"/>
    <w:rsid w:val="486D7D25"/>
    <w:rsid w:val="4878659B"/>
    <w:rsid w:val="48816465"/>
    <w:rsid w:val="48853DCE"/>
    <w:rsid w:val="489324F9"/>
    <w:rsid w:val="48990868"/>
    <w:rsid w:val="48A837C5"/>
    <w:rsid w:val="48AB55F3"/>
    <w:rsid w:val="48AC20D9"/>
    <w:rsid w:val="48C1243A"/>
    <w:rsid w:val="48CD29A3"/>
    <w:rsid w:val="48CE4F51"/>
    <w:rsid w:val="48D02FA7"/>
    <w:rsid w:val="48D44D04"/>
    <w:rsid w:val="48D50220"/>
    <w:rsid w:val="48D57176"/>
    <w:rsid w:val="48D65DDA"/>
    <w:rsid w:val="48D74D8C"/>
    <w:rsid w:val="48E271BD"/>
    <w:rsid w:val="48E464E7"/>
    <w:rsid w:val="48F744AE"/>
    <w:rsid w:val="48FE610A"/>
    <w:rsid w:val="490400B6"/>
    <w:rsid w:val="491B3524"/>
    <w:rsid w:val="49211EA4"/>
    <w:rsid w:val="49355EB1"/>
    <w:rsid w:val="49461876"/>
    <w:rsid w:val="49630037"/>
    <w:rsid w:val="496C23B7"/>
    <w:rsid w:val="49770F41"/>
    <w:rsid w:val="497C0E33"/>
    <w:rsid w:val="498A68B5"/>
    <w:rsid w:val="498B76CB"/>
    <w:rsid w:val="498E650A"/>
    <w:rsid w:val="4994425B"/>
    <w:rsid w:val="49953B80"/>
    <w:rsid w:val="499A4569"/>
    <w:rsid w:val="49BB7F90"/>
    <w:rsid w:val="49BE57B1"/>
    <w:rsid w:val="49C150F4"/>
    <w:rsid w:val="49DD7DCC"/>
    <w:rsid w:val="49DF7427"/>
    <w:rsid w:val="49DF7FC8"/>
    <w:rsid w:val="49E71C7B"/>
    <w:rsid w:val="49FD001D"/>
    <w:rsid w:val="49FD2EC6"/>
    <w:rsid w:val="4A024A58"/>
    <w:rsid w:val="4A104839"/>
    <w:rsid w:val="4A1B6308"/>
    <w:rsid w:val="4A1E1086"/>
    <w:rsid w:val="4A23213F"/>
    <w:rsid w:val="4A2924F8"/>
    <w:rsid w:val="4A2F0ACB"/>
    <w:rsid w:val="4A36659A"/>
    <w:rsid w:val="4A3903FB"/>
    <w:rsid w:val="4A3E218B"/>
    <w:rsid w:val="4A473737"/>
    <w:rsid w:val="4A5C0A35"/>
    <w:rsid w:val="4A5C7FCE"/>
    <w:rsid w:val="4A627E9B"/>
    <w:rsid w:val="4A6549E9"/>
    <w:rsid w:val="4A7C4583"/>
    <w:rsid w:val="4A811CA6"/>
    <w:rsid w:val="4A90735E"/>
    <w:rsid w:val="4A944252"/>
    <w:rsid w:val="4A972559"/>
    <w:rsid w:val="4AA335BD"/>
    <w:rsid w:val="4AB952A2"/>
    <w:rsid w:val="4ABB4B3E"/>
    <w:rsid w:val="4ABF4F66"/>
    <w:rsid w:val="4AC346FE"/>
    <w:rsid w:val="4AC92DED"/>
    <w:rsid w:val="4ACA2AEC"/>
    <w:rsid w:val="4AD01342"/>
    <w:rsid w:val="4AD44311"/>
    <w:rsid w:val="4AD50ED4"/>
    <w:rsid w:val="4AE04AAB"/>
    <w:rsid w:val="4AFB673E"/>
    <w:rsid w:val="4AFC57CF"/>
    <w:rsid w:val="4B027638"/>
    <w:rsid w:val="4B1F3247"/>
    <w:rsid w:val="4B262516"/>
    <w:rsid w:val="4B5B3954"/>
    <w:rsid w:val="4B6322F6"/>
    <w:rsid w:val="4B64664C"/>
    <w:rsid w:val="4B660558"/>
    <w:rsid w:val="4B735E50"/>
    <w:rsid w:val="4B7607EE"/>
    <w:rsid w:val="4B9200F9"/>
    <w:rsid w:val="4B920703"/>
    <w:rsid w:val="4BA43A41"/>
    <w:rsid w:val="4BB133B7"/>
    <w:rsid w:val="4BB20B06"/>
    <w:rsid w:val="4BB412A8"/>
    <w:rsid w:val="4BBF6CA4"/>
    <w:rsid w:val="4BE4054B"/>
    <w:rsid w:val="4BE57B5E"/>
    <w:rsid w:val="4BE933A8"/>
    <w:rsid w:val="4BEC2BB7"/>
    <w:rsid w:val="4BF61A4D"/>
    <w:rsid w:val="4BF81251"/>
    <w:rsid w:val="4BFC17B3"/>
    <w:rsid w:val="4BFC55E4"/>
    <w:rsid w:val="4C040CE6"/>
    <w:rsid w:val="4C0569C5"/>
    <w:rsid w:val="4C061B3E"/>
    <w:rsid w:val="4C0D4477"/>
    <w:rsid w:val="4C0E12C1"/>
    <w:rsid w:val="4C14158D"/>
    <w:rsid w:val="4C1C080A"/>
    <w:rsid w:val="4C406057"/>
    <w:rsid w:val="4C433064"/>
    <w:rsid w:val="4C4D5E92"/>
    <w:rsid w:val="4C535974"/>
    <w:rsid w:val="4C573ABE"/>
    <w:rsid w:val="4C6E02F1"/>
    <w:rsid w:val="4C84658D"/>
    <w:rsid w:val="4C8F6DA1"/>
    <w:rsid w:val="4CA7245F"/>
    <w:rsid w:val="4CAD4F04"/>
    <w:rsid w:val="4CCB76FF"/>
    <w:rsid w:val="4CE671A3"/>
    <w:rsid w:val="4CE73F36"/>
    <w:rsid w:val="4CED4659"/>
    <w:rsid w:val="4CED49B7"/>
    <w:rsid w:val="4CF72C09"/>
    <w:rsid w:val="4CF73184"/>
    <w:rsid w:val="4D01600E"/>
    <w:rsid w:val="4D0B5C40"/>
    <w:rsid w:val="4D265148"/>
    <w:rsid w:val="4D376A6C"/>
    <w:rsid w:val="4D3C399C"/>
    <w:rsid w:val="4D3C46DC"/>
    <w:rsid w:val="4D3E4A37"/>
    <w:rsid w:val="4D4212B9"/>
    <w:rsid w:val="4D57083A"/>
    <w:rsid w:val="4D6E37DE"/>
    <w:rsid w:val="4D6F7F42"/>
    <w:rsid w:val="4D7C5A32"/>
    <w:rsid w:val="4D9C7A9F"/>
    <w:rsid w:val="4DB72F5F"/>
    <w:rsid w:val="4DBF3901"/>
    <w:rsid w:val="4DD03175"/>
    <w:rsid w:val="4DD155BE"/>
    <w:rsid w:val="4DF80B94"/>
    <w:rsid w:val="4DF86E60"/>
    <w:rsid w:val="4DFA4F54"/>
    <w:rsid w:val="4E110CD7"/>
    <w:rsid w:val="4E125B9B"/>
    <w:rsid w:val="4E140D7D"/>
    <w:rsid w:val="4E175859"/>
    <w:rsid w:val="4E1951A0"/>
    <w:rsid w:val="4E271E67"/>
    <w:rsid w:val="4E4A64DA"/>
    <w:rsid w:val="4E547663"/>
    <w:rsid w:val="4E67382A"/>
    <w:rsid w:val="4E793223"/>
    <w:rsid w:val="4E886091"/>
    <w:rsid w:val="4E8F6A9A"/>
    <w:rsid w:val="4E940E57"/>
    <w:rsid w:val="4E98339A"/>
    <w:rsid w:val="4EB21157"/>
    <w:rsid w:val="4EB31C78"/>
    <w:rsid w:val="4EC90C95"/>
    <w:rsid w:val="4ECE25C1"/>
    <w:rsid w:val="4ED21B34"/>
    <w:rsid w:val="4ED43AA8"/>
    <w:rsid w:val="4ED87423"/>
    <w:rsid w:val="4EE21681"/>
    <w:rsid w:val="4EE40051"/>
    <w:rsid w:val="4EEC1D32"/>
    <w:rsid w:val="4EFE78CE"/>
    <w:rsid w:val="4EFF798F"/>
    <w:rsid w:val="4F146CFC"/>
    <w:rsid w:val="4F1A34BD"/>
    <w:rsid w:val="4F1E5D8E"/>
    <w:rsid w:val="4F2C5662"/>
    <w:rsid w:val="4F2D351A"/>
    <w:rsid w:val="4F4D3A3C"/>
    <w:rsid w:val="4F522668"/>
    <w:rsid w:val="4F537A26"/>
    <w:rsid w:val="4F5970C7"/>
    <w:rsid w:val="4F634F3A"/>
    <w:rsid w:val="4F7719B1"/>
    <w:rsid w:val="4F7A1E4D"/>
    <w:rsid w:val="4F7C274D"/>
    <w:rsid w:val="4F92730D"/>
    <w:rsid w:val="4F9A241F"/>
    <w:rsid w:val="4F9F5899"/>
    <w:rsid w:val="4FA819A0"/>
    <w:rsid w:val="4FAC381D"/>
    <w:rsid w:val="4FB27D76"/>
    <w:rsid w:val="4FC56B9F"/>
    <w:rsid w:val="4FEE6303"/>
    <w:rsid w:val="4FF22788"/>
    <w:rsid w:val="4FF51850"/>
    <w:rsid w:val="50006C89"/>
    <w:rsid w:val="50187963"/>
    <w:rsid w:val="50380711"/>
    <w:rsid w:val="503F0BFC"/>
    <w:rsid w:val="50410DA3"/>
    <w:rsid w:val="505A531B"/>
    <w:rsid w:val="50742D3C"/>
    <w:rsid w:val="50796B8D"/>
    <w:rsid w:val="507C0491"/>
    <w:rsid w:val="5086209B"/>
    <w:rsid w:val="508A0891"/>
    <w:rsid w:val="5091629D"/>
    <w:rsid w:val="50927989"/>
    <w:rsid w:val="509454A4"/>
    <w:rsid w:val="50B02EF9"/>
    <w:rsid w:val="50B15E9D"/>
    <w:rsid w:val="50B228F9"/>
    <w:rsid w:val="50CB3D34"/>
    <w:rsid w:val="50CB404A"/>
    <w:rsid w:val="50CE30C7"/>
    <w:rsid w:val="50D712E4"/>
    <w:rsid w:val="50E7551B"/>
    <w:rsid w:val="50EE2E10"/>
    <w:rsid w:val="511B69D4"/>
    <w:rsid w:val="51213D75"/>
    <w:rsid w:val="512A0D8E"/>
    <w:rsid w:val="51327E2F"/>
    <w:rsid w:val="514B65A0"/>
    <w:rsid w:val="514B74DB"/>
    <w:rsid w:val="51556E0B"/>
    <w:rsid w:val="51637CE3"/>
    <w:rsid w:val="517A5792"/>
    <w:rsid w:val="517A74B4"/>
    <w:rsid w:val="517D45F9"/>
    <w:rsid w:val="51860F40"/>
    <w:rsid w:val="518D2119"/>
    <w:rsid w:val="51B01E5C"/>
    <w:rsid w:val="51B87867"/>
    <w:rsid w:val="51B9224B"/>
    <w:rsid w:val="51C93B18"/>
    <w:rsid w:val="51CF6871"/>
    <w:rsid w:val="51D232A1"/>
    <w:rsid w:val="51E87208"/>
    <w:rsid w:val="51FA1D81"/>
    <w:rsid w:val="51FD57C1"/>
    <w:rsid w:val="521151AF"/>
    <w:rsid w:val="521522B9"/>
    <w:rsid w:val="521E04B7"/>
    <w:rsid w:val="5223407E"/>
    <w:rsid w:val="52277879"/>
    <w:rsid w:val="52292404"/>
    <w:rsid w:val="522C3622"/>
    <w:rsid w:val="522F0A3A"/>
    <w:rsid w:val="523126A7"/>
    <w:rsid w:val="523E7948"/>
    <w:rsid w:val="524D3022"/>
    <w:rsid w:val="52512936"/>
    <w:rsid w:val="525A482E"/>
    <w:rsid w:val="526F3E9F"/>
    <w:rsid w:val="52732802"/>
    <w:rsid w:val="52761C1C"/>
    <w:rsid w:val="52775802"/>
    <w:rsid w:val="52841F51"/>
    <w:rsid w:val="52884E99"/>
    <w:rsid w:val="528B6CFB"/>
    <w:rsid w:val="52904A52"/>
    <w:rsid w:val="52AF6998"/>
    <w:rsid w:val="52B03D06"/>
    <w:rsid w:val="52B26765"/>
    <w:rsid w:val="52BB7E90"/>
    <w:rsid w:val="52C11CEA"/>
    <w:rsid w:val="52C647C3"/>
    <w:rsid w:val="52D15081"/>
    <w:rsid w:val="52EA2073"/>
    <w:rsid w:val="52F0186B"/>
    <w:rsid w:val="52F540C3"/>
    <w:rsid w:val="52F63DFA"/>
    <w:rsid w:val="53030B92"/>
    <w:rsid w:val="530E2EFC"/>
    <w:rsid w:val="530E56C6"/>
    <w:rsid w:val="53124A64"/>
    <w:rsid w:val="531635F0"/>
    <w:rsid w:val="53224E9E"/>
    <w:rsid w:val="53234840"/>
    <w:rsid w:val="532358D3"/>
    <w:rsid w:val="53264B50"/>
    <w:rsid w:val="532C6D88"/>
    <w:rsid w:val="532D425B"/>
    <w:rsid w:val="53382FB9"/>
    <w:rsid w:val="53505E09"/>
    <w:rsid w:val="53537F8B"/>
    <w:rsid w:val="535840C9"/>
    <w:rsid w:val="53644B70"/>
    <w:rsid w:val="537762EA"/>
    <w:rsid w:val="53792D19"/>
    <w:rsid w:val="53822806"/>
    <w:rsid w:val="538520A9"/>
    <w:rsid w:val="53887122"/>
    <w:rsid w:val="53906EF5"/>
    <w:rsid w:val="53946825"/>
    <w:rsid w:val="539907F9"/>
    <w:rsid w:val="53AB096C"/>
    <w:rsid w:val="53AC68B5"/>
    <w:rsid w:val="53BA5A94"/>
    <w:rsid w:val="53BB4001"/>
    <w:rsid w:val="53C162D0"/>
    <w:rsid w:val="53CB49D1"/>
    <w:rsid w:val="53D13535"/>
    <w:rsid w:val="53E97493"/>
    <w:rsid w:val="540E6279"/>
    <w:rsid w:val="54110B22"/>
    <w:rsid w:val="54171C35"/>
    <w:rsid w:val="541C7A9C"/>
    <w:rsid w:val="543D7950"/>
    <w:rsid w:val="54456E12"/>
    <w:rsid w:val="545216E9"/>
    <w:rsid w:val="545A111A"/>
    <w:rsid w:val="545E0FA2"/>
    <w:rsid w:val="546D67D4"/>
    <w:rsid w:val="54724D84"/>
    <w:rsid w:val="547316E8"/>
    <w:rsid w:val="54820F13"/>
    <w:rsid w:val="54975636"/>
    <w:rsid w:val="549A5B5F"/>
    <w:rsid w:val="54A35846"/>
    <w:rsid w:val="54BC37C2"/>
    <w:rsid w:val="54BE6741"/>
    <w:rsid w:val="54C30236"/>
    <w:rsid w:val="54C63CF3"/>
    <w:rsid w:val="54CD7814"/>
    <w:rsid w:val="54E16546"/>
    <w:rsid w:val="55046AD0"/>
    <w:rsid w:val="55057253"/>
    <w:rsid w:val="55086681"/>
    <w:rsid w:val="55267626"/>
    <w:rsid w:val="552D3AF3"/>
    <w:rsid w:val="552F3F4F"/>
    <w:rsid w:val="5531076E"/>
    <w:rsid w:val="553F32A6"/>
    <w:rsid w:val="55416C8C"/>
    <w:rsid w:val="554D3F4B"/>
    <w:rsid w:val="554E5C4A"/>
    <w:rsid w:val="55591069"/>
    <w:rsid w:val="555B22E2"/>
    <w:rsid w:val="55630E23"/>
    <w:rsid w:val="5569135A"/>
    <w:rsid w:val="55694468"/>
    <w:rsid w:val="556C2260"/>
    <w:rsid w:val="55734748"/>
    <w:rsid w:val="557746D2"/>
    <w:rsid w:val="557A6379"/>
    <w:rsid w:val="557C09FA"/>
    <w:rsid w:val="55865297"/>
    <w:rsid w:val="559108DF"/>
    <w:rsid w:val="55987144"/>
    <w:rsid w:val="559A2A0E"/>
    <w:rsid w:val="55BC3C4F"/>
    <w:rsid w:val="55C771E2"/>
    <w:rsid w:val="55D20629"/>
    <w:rsid w:val="55E43FAD"/>
    <w:rsid w:val="55E53A0B"/>
    <w:rsid w:val="56000BBD"/>
    <w:rsid w:val="560710A8"/>
    <w:rsid w:val="56075213"/>
    <w:rsid w:val="560A163E"/>
    <w:rsid w:val="561949E0"/>
    <w:rsid w:val="56260EF3"/>
    <w:rsid w:val="5631001B"/>
    <w:rsid w:val="5650082A"/>
    <w:rsid w:val="5655509D"/>
    <w:rsid w:val="56595347"/>
    <w:rsid w:val="56744C2D"/>
    <w:rsid w:val="56747E5C"/>
    <w:rsid w:val="567B2C22"/>
    <w:rsid w:val="567F74BD"/>
    <w:rsid w:val="56816DFD"/>
    <w:rsid w:val="56862566"/>
    <w:rsid w:val="568C2B35"/>
    <w:rsid w:val="568C6847"/>
    <w:rsid w:val="56941EBE"/>
    <w:rsid w:val="56A52391"/>
    <w:rsid w:val="56B246BC"/>
    <w:rsid w:val="56B57E6A"/>
    <w:rsid w:val="56CF497A"/>
    <w:rsid w:val="56D41444"/>
    <w:rsid w:val="56DA3B73"/>
    <w:rsid w:val="56DB55A7"/>
    <w:rsid w:val="56DD173E"/>
    <w:rsid w:val="56EB7873"/>
    <w:rsid w:val="56F07BBF"/>
    <w:rsid w:val="57081C30"/>
    <w:rsid w:val="57132DAB"/>
    <w:rsid w:val="57144B34"/>
    <w:rsid w:val="571811A3"/>
    <w:rsid w:val="57290E23"/>
    <w:rsid w:val="572F0ED3"/>
    <w:rsid w:val="57376261"/>
    <w:rsid w:val="57423783"/>
    <w:rsid w:val="57437364"/>
    <w:rsid w:val="574A7F2F"/>
    <w:rsid w:val="574D6412"/>
    <w:rsid w:val="57555194"/>
    <w:rsid w:val="5758073C"/>
    <w:rsid w:val="576341D8"/>
    <w:rsid w:val="5770772F"/>
    <w:rsid w:val="57724527"/>
    <w:rsid w:val="578904B8"/>
    <w:rsid w:val="578D7690"/>
    <w:rsid w:val="5795246F"/>
    <w:rsid w:val="57B903A0"/>
    <w:rsid w:val="57C364C9"/>
    <w:rsid w:val="57D11316"/>
    <w:rsid w:val="57D52B76"/>
    <w:rsid w:val="57D9304A"/>
    <w:rsid w:val="57D957FC"/>
    <w:rsid w:val="57EA01BD"/>
    <w:rsid w:val="58015768"/>
    <w:rsid w:val="58052F78"/>
    <w:rsid w:val="580A419A"/>
    <w:rsid w:val="581E31A7"/>
    <w:rsid w:val="583A4F4D"/>
    <w:rsid w:val="583B0EEF"/>
    <w:rsid w:val="583B68E8"/>
    <w:rsid w:val="58433F10"/>
    <w:rsid w:val="5846423A"/>
    <w:rsid w:val="584B51C8"/>
    <w:rsid w:val="5856134B"/>
    <w:rsid w:val="58566944"/>
    <w:rsid w:val="585A09D4"/>
    <w:rsid w:val="585C3BC1"/>
    <w:rsid w:val="58725207"/>
    <w:rsid w:val="58843CD1"/>
    <w:rsid w:val="58850044"/>
    <w:rsid w:val="588C4616"/>
    <w:rsid w:val="589F095F"/>
    <w:rsid w:val="58AA246E"/>
    <w:rsid w:val="58B936E8"/>
    <w:rsid w:val="58BB3A08"/>
    <w:rsid w:val="58BC562C"/>
    <w:rsid w:val="58BE031D"/>
    <w:rsid w:val="58C04C14"/>
    <w:rsid w:val="58C06404"/>
    <w:rsid w:val="58CA2246"/>
    <w:rsid w:val="58D9721E"/>
    <w:rsid w:val="58F81B95"/>
    <w:rsid w:val="58F920F0"/>
    <w:rsid w:val="58FB2271"/>
    <w:rsid w:val="58FC3BB3"/>
    <w:rsid w:val="59001493"/>
    <w:rsid w:val="59035EDB"/>
    <w:rsid w:val="590E68CC"/>
    <w:rsid w:val="59113E7B"/>
    <w:rsid w:val="59155CD7"/>
    <w:rsid w:val="591566A2"/>
    <w:rsid w:val="591A2D46"/>
    <w:rsid w:val="591F4F9A"/>
    <w:rsid w:val="592B614A"/>
    <w:rsid w:val="594273C4"/>
    <w:rsid w:val="594A01F5"/>
    <w:rsid w:val="594B5D01"/>
    <w:rsid w:val="5955431B"/>
    <w:rsid w:val="59563313"/>
    <w:rsid w:val="59692FA3"/>
    <w:rsid w:val="59723BEB"/>
    <w:rsid w:val="597B53C9"/>
    <w:rsid w:val="597E28A4"/>
    <w:rsid w:val="599054E6"/>
    <w:rsid w:val="59973B2E"/>
    <w:rsid w:val="599F1FDE"/>
    <w:rsid w:val="59A92F58"/>
    <w:rsid w:val="59AC0E75"/>
    <w:rsid w:val="59C32620"/>
    <w:rsid w:val="59D72985"/>
    <w:rsid w:val="59E16CC4"/>
    <w:rsid w:val="59E17482"/>
    <w:rsid w:val="59E64ACA"/>
    <w:rsid w:val="59EC6C6F"/>
    <w:rsid w:val="59F153CF"/>
    <w:rsid w:val="59F42709"/>
    <w:rsid w:val="5A030A26"/>
    <w:rsid w:val="5A182065"/>
    <w:rsid w:val="5A1B3DC1"/>
    <w:rsid w:val="5A206E2E"/>
    <w:rsid w:val="5A2669BB"/>
    <w:rsid w:val="5A29424C"/>
    <w:rsid w:val="5A2F572A"/>
    <w:rsid w:val="5A317B6D"/>
    <w:rsid w:val="5A3B5A1D"/>
    <w:rsid w:val="5A492D16"/>
    <w:rsid w:val="5A5A22CE"/>
    <w:rsid w:val="5A5C1968"/>
    <w:rsid w:val="5A725750"/>
    <w:rsid w:val="5A750BE6"/>
    <w:rsid w:val="5A7E62AA"/>
    <w:rsid w:val="5A9C500C"/>
    <w:rsid w:val="5AA47119"/>
    <w:rsid w:val="5AAA50DC"/>
    <w:rsid w:val="5AB800FA"/>
    <w:rsid w:val="5ABC658E"/>
    <w:rsid w:val="5ACB44AF"/>
    <w:rsid w:val="5AEE2042"/>
    <w:rsid w:val="5AF105DA"/>
    <w:rsid w:val="5AFA171E"/>
    <w:rsid w:val="5B06476A"/>
    <w:rsid w:val="5B0D2C34"/>
    <w:rsid w:val="5B10464E"/>
    <w:rsid w:val="5B106053"/>
    <w:rsid w:val="5B135157"/>
    <w:rsid w:val="5B1B3447"/>
    <w:rsid w:val="5B282DAF"/>
    <w:rsid w:val="5B3772AF"/>
    <w:rsid w:val="5B395EB5"/>
    <w:rsid w:val="5B504348"/>
    <w:rsid w:val="5B5F2EFC"/>
    <w:rsid w:val="5B5F3199"/>
    <w:rsid w:val="5B626092"/>
    <w:rsid w:val="5B6B549E"/>
    <w:rsid w:val="5B7805E8"/>
    <w:rsid w:val="5B8940AA"/>
    <w:rsid w:val="5B90607F"/>
    <w:rsid w:val="5BB12C15"/>
    <w:rsid w:val="5BCD544F"/>
    <w:rsid w:val="5BCE5B08"/>
    <w:rsid w:val="5BDA4F3F"/>
    <w:rsid w:val="5BF112D6"/>
    <w:rsid w:val="5BF9099D"/>
    <w:rsid w:val="5C076D60"/>
    <w:rsid w:val="5C18462A"/>
    <w:rsid w:val="5C1E6F85"/>
    <w:rsid w:val="5C254DFE"/>
    <w:rsid w:val="5C2B67BB"/>
    <w:rsid w:val="5C5745FA"/>
    <w:rsid w:val="5C5A6E92"/>
    <w:rsid w:val="5C5F1406"/>
    <w:rsid w:val="5C6235F1"/>
    <w:rsid w:val="5C651AD1"/>
    <w:rsid w:val="5C7F3CF4"/>
    <w:rsid w:val="5C9E48C6"/>
    <w:rsid w:val="5C9F7EDB"/>
    <w:rsid w:val="5CA10EA5"/>
    <w:rsid w:val="5CAA3BCB"/>
    <w:rsid w:val="5CB4315F"/>
    <w:rsid w:val="5CB51BAD"/>
    <w:rsid w:val="5CC43175"/>
    <w:rsid w:val="5CC5425E"/>
    <w:rsid w:val="5CD93C1C"/>
    <w:rsid w:val="5CDF1FA2"/>
    <w:rsid w:val="5CFF3031"/>
    <w:rsid w:val="5D124A66"/>
    <w:rsid w:val="5D1B49A6"/>
    <w:rsid w:val="5D2617BD"/>
    <w:rsid w:val="5D3A6021"/>
    <w:rsid w:val="5D410139"/>
    <w:rsid w:val="5D511C99"/>
    <w:rsid w:val="5D6407F3"/>
    <w:rsid w:val="5D6533EC"/>
    <w:rsid w:val="5D693F82"/>
    <w:rsid w:val="5D8549D5"/>
    <w:rsid w:val="5D8A7995"/>
    <w:rsid w:val="5D8C7CC7"/>
    <w:rsid w:val="5D8D2611"/>
    <w:rsid w:val="5DA67223"/>
    <w:rsid w:val="5DB753E3"/>
    <w:rsid w:val="5DC16DC2"/>
    <w:rsid w:val="5DC907C0"/>
    <w:rsid w:val="5DCA0F83"/>
    <w:rsid w:val="5DD30F0F"/>
    <w:rsid w:val="5DD80292"/>
    <w:rsid w:val="5DDE05E2"/>
    <w:rsid w:val="5DDF6A4C"/>
    <w:rsid w:val="5DE2248A"/>
    <w:rsid w:val="5DE774E4"/>
    <w:rsid w:val="5DEF3F70"/>
    <w:rsid w:val="5DF273D9"/>
    <w:rsid w:val="5E005CBE"/>
    <w:rsid w:val="5E127079"/>
    <w:rsid w:val="5E180057"/>
    <w:rsid w:val="5E1D694A"/>
    <w:rsid w:val="5E223862"/>
    <w:rsid w:val="5E313218"/>
    <w:rsid w:val="5E3B389B"/>
    <w:rsid w:val="5E3E7BC6"/>
    <w:rsid w:val="5E472152"/>
    <w:rsid w:val="5E491AF8"/>
    <w:rsid w:val="5E4967F2"/>
    <w:rsid w:val="5E524812"/>
    <w:rsid w:val="5E5551CB"/>
    <w:rsid w:val="5E5F3F89"/>
    <w:rsid w:val="5E6C01DD"/>
    <w:rsid w:val="5E76621F"/>
    <w:rsid w:val="5E971EFB"/>
    <w:rsid w:val="5E9E1CB0"/>
    <w:rsid w:val="5E9E6661"/>
    <w:rsid w:val="5EB16BB5"/>
    <w:rsid w:val="5EB60E1E"/>
    <w:rsid w:val="5EB662D0"/>
    <w:rsid w:val="5EC00B34"/>
    <w:rsid w:val="5EC234AB"/>
    <w:rsid w:val="5EC57FD6"/>
    <w:rsid w:val="5EC63C17"/>
    <w:rsid w:val="5ED14C9F"/>
    <w:rsid w:val="5EE038AD"/>
    <w:rsid w:val="5EE641AD"/>
    <w:rsid w:val="5EEC779E"/>
    <w:rsid w:val="5EFD0814"/>
    <w:rsid w:val="5EFF251C"/>
    <w:rsid w:val="5F041024"/>
    <w:rsid w:val="5F0A1E4D"/>
    <w:rsid w:val="5F0B2D30"/>
    <w:rsid w:val="5F0C751C"/>
    <w:rsid w:val="5F0F7AF7"/>
    <w:rsid w:val="5F154542"/>
    <w:rsid w:val="5F2E3719"/>
    <w:rsid w:val="5F2E62C0"/>
    <w:rsid w:val="5F2F12A7"/>
    <w:rsid w:val="5F2F1552"/>
    <w:rsid w:val="5F417051"/>
    <w:rsid w:val="5F431BCD"/>
    <w:rsid w:val="5F5B79F6"/>
    <w:rsid w:val="5F68546B"/>
    <w:rsid w:val="5F6A664B"/>
    <w:rsid w:val="5F6D3E0A"/>
    <w:rsid w:val="5FA11DF7"/>
    <w:rsid w:val="5FAF126E"/>
    <w:rsid w:val="5FB860AA"/>
    <w:rsid w:val="5FC93E98"/>
    <w:rsid w:val="5FDC15DA"/>
    <w:rsid w:val="5FE51F95"/>
    <w:rsid w:val="5FE87056"/>
    <w:rsid w:val="60114589"/>
    <w:rsid w:val="6018138D"/>
    <w:rsid w:val="601A373A"/>
    <w:rsid w:val="601B183F"/>
    <w:rsid w:val="601F1AEF"/>
    <w:rsid w:val="601F3999"/>
    <w:rsid w:val="603A68CB"/>
    <w:rsid w:val="603E1CAD"/>
    <w:rsid w:val="60405D81"/>
    <w:rsid w:val="604318D9"/>
    <w:rsid w:val="604614F5"/>
    <w:rsid w:val="605817A8"/>
    <w:rsid w:val="60671BA8"/>
    <w:rsid w:val="60790681"/>
    <w:rsid w:val="607B4715"/>
    <w:rsid w:val="60921374"/>
    <w:rsid w:val="60AF4A8B"/>
    <w:rsid w:val="60B32FA6"/>
    <w:rsid w:val="60B85F70"/>
    <w:rsid w:val="60CB47EB"/>
    <w:rsid w:val="60D55733"/>
    <w:rsid w:val="60E31635"/>
    <w:rsid w:val="60E6748A"/>
    <w:rsid w:val="60E930B4"/>
    <w:rsid w:val="60F4232A"/>
    <w:rsid w:val="61030CDD"/>
    <w:rsid w:val="610A3417"/>
    <w:rsid w:val="611033D8"/>
    <w:rsid w:val="611655F8"/>
    <w:rsid w:val="61576D48"/>
    <w:rsid w:val="615852A3"/>
    <w:rsid w:val="615E47C3"/>
    <w:rsid w:val="61682466"/>
    <w:rsid w:val="61694CE4"/>
    <w:rsid w:val="619957F1"/>
    <w:rsid w:val="61A20385"/>
    <w:rsid w:val="61A6620D"/>
    <w:rsid w:val="61A75A84"/>
    <w:rsid w:val="61C1205D"/>
    <w:rsid w:val="61C30D31"/>
    <w:rsid w:val="61C37CD9"/>
    <w:rsid w:val="61DA0729"/>
    <w:rsid w:val="61F23A32"/>
    <w:rsid w:val="61FE2DE1"/>
    <w:rsid w:val="62030FF0"/>
    <w:rsid w:val="62037CCD"/>
    <w:rsid w:val="620C01CC"/>
    <w:rsid w:val="620F382D"/>
    <w:rsid w:val="621A75D2"/>
    <w:rsid w:val="622821DE"/>
    <w:rsid w:val="62287D52"/>
    <w:rsid w:val="6229211D"/>
    <w:rsid w:val="624915A9"/>
    <w:rsid w:val="625D1015"/>
    <w:rsid w:val="62713805"/>
    <w:rsid w:val="627B1A8C"/>
    <w:rsid w:val="627D4510"/>
    <w:rsid w:val="62865172"/>
    <w:rsid w:val="628C11B4"/>
    <w:rsid w:val="62A14CF4"/>
    <w:rsid w:val="62AE3D85"/>
    <w:rsid w:val="62B148A7"/>
    <w:rsid w:val="62B1794B"/>
    <w:rsid w:val="62B7048D"/>
    <w:rsid w:val="62D174E2"/>
    <w:rsid w:val="62D84CC4"/>
    <w:rsid w:val="62E82DAA"/>
    <w:rsid w:val="62EE0CC1"/>
    <w:rsid w:val="62F951EF"/>
    <w:rsid w:val="62FA1BA9"/>
    <w:rsid w:val="62FA4BE7"/>
    <w:rsid w:val="63081266"/>
    <w:rsid w:val="630E0D5E"/>
    <w:rsid w:val="631073AA"/>
    <w:rsid w:val="631426EB"/>
    <w:rsid w:val="631F430E"/>
    <w:rsid w:val="63211CAF"/>
    <w:rsid w:val="632E4814"/>
    <w:rsid w:val="63331DFA"/>
    <w:rsid w:val="63377C78"/>
    <w:rsid w:val="633E3F5E"/>
    <w:rsid w:val="63455630"/>
    <w:rsid w:val="63474C4E"/>
    <w:rsid w:val="63483440"/>
    <w:rsid w:val="634C50EE"/>
    <w:rsid w:val="63516F08"/>
    <w:rsid w:val="635B3069"/>
    <w:rsid w:val="635F2291"/>
    <w:rsid w:val="636875B0"/>
    <w:rsid w:val="636A3312"/>
    <w:rsid w:val="638108CA"/>
    <w:rsid w:val="63861580"/>
    <w:rsid w:val="63893FDB"/>
    <w:rsid w:val="638D2ED2"/>
    <w:rsid w:val="639216D8"/>
    <w:rsid w:val="63B729FB"/>
    <w:rsid w:val="63B977FB"/>
    <w:rsid w:val="63BC616A"/>
    <w:rsid w:val="63C46E5C"/>
    <w:rsid w:val="63C912B9"/>
    <w:rsid w:val="63CA7621"/>
    <w:rsid w:val="63DC525A"/>
    <w:rsid w:val="63E27936"/>
    <w:rsid w:val="63E70DBD"/>
    <w:rsid w:val="63EA5031"/>
    <w:rsid w:val="63EE0A87"/>
    <w:rsid w:val="64053E78"/>
    <w:rsid w:val="6423786E"/>
    <w:rsid w:val="642877A5"/>
    <w:rsid w:val="64336A5C"/>
    <w:rsid w:val="64432F61"/>
    <w:rsid w:val="644D2AD3"/>
    <w:rsid w:val="645631D7"/>
    <w:rsid w:val="6457499D"/>
    <w:rsid w:val="64632766"/>
    <w:rsid w:val="646442A1"/>
    <w:rsid w:val="646769AF"/>
    <w:rsid w:val="64781A85"/>
    <w:rsid w:val="64935856"/>
    <w:rsid w:val="64962B27"/>
    <w:rsid w:val="649C4495"/>
    <w:rsid w:val="64CF7359"/>
    <w:rsid w:val="64FC1606"/>
    <w:rsid w:val="650814CD"/>
    <w:rsid w:val="65265081"/>
    <w:rsid w:val="65294EA3"/>
    <w:rsid w:val="653F26D9"/>
    <w:rsid w:val="65471182"/>
    <w:rsid w:val="65481F98"/>
    <w:rsid w:val="655637B6"/>
    <w:rsid w:val="656079B0"/>
    <w:rsid w:val="656E0B7F"/>
    <w:rsid w:val="65720CFE"/>
    <w:rsid w:val="65793493"/>
    <w:rsid w:val="65884691"/>
    <w:rsid w:val="65904C0C"/>
    <w:rsid w:val="65921F85"/>
    <w:rsid w:val="6599794A"/>
    <w:rsid w:val="65A768B8"/>
    <w:rsid w:val="65AC12B7"/>
    <w:rsid w:val="65AC7FD2"/>
    <w:rsid w:val="65B02C3E"/>
    <w:rsid w:val="65B53A68"/>
    <w:rsid w:val="65B95A21"/>
    <w:rsid w:val="65BC518F"/>
    <w:rsid w:val="65BE18BA"/>
    <w:rsid w:val="65C608A5"/>
    <w:rsid w:val="65C91423"/>
    <w:rsid w:val="65D44B36"/>
    <w:rsid w:val="65EE7964"/>
    <w:rsid w:val="65F80AFA"/>
    <w:rsid w:val="65F83E57"/>
    <w:rsid w:val="65FF494D"/>
    <w:rsid w:val="6612182B"/>
    <w:rsid w:val="66130B05"/>
    <w:rsid w:val="661A0BAA"/>
    <w:rsid w:val="66212C86"/>
    <w:rsid w:val="66245FFB"/>
    <w:rsid w:val="663E682A"/>
    <w:rsid w:val="663F7CC3"/>
    <w:rsid w:val="664473AC"/>
    <w:rsid w:val="6646040C"/>
    <w:rsid w:val="66467FD8"/>
    <w:rsid w:val="664810E8"/>
    <w:rsid w:val="665D43A3"/>
    <w:rsid w:val="6661200B"/>
    <w:rsid w:val="66732C3F"/>
    <w:rsid w:val="6673351F"/>
    <w:rsid w:val="667F7752"/>
    <w:rsid w:val="669369E4"/>
    <w:rsid w:val="66956427"/>
    <w:rsid w:val="66990686"/>
    <w:rsid w:val="66A12776"/>
    <w:rsid w:val="66A50088"/>
    <w:rsid w:val="66B3552D"/>
    <w:rsid w:val="66B62C3F"/>
    <w:rsid w:val="66B9024C"/>
    <w:rsid w:val="66C322A1"/>
    <w:rsid w:val="66C8000F"/>
    <w:rsid w:val="66C8330B"/>
    <w:rsid w:val="66D458B1"/>
    <w:rsid w:val="66DD665E"/>
    <w:rsid w:val="66E027C5"/>
    <w:rsid w:val="66E5102A"/>
    <w:rsid w:val="66E704B2"/>
    <w:rsid w:val="66F22DAB"/>
    <w:rsid w:val="66F65C61"/>
    <w:rsid w:val="66F92ACD"/>
    <w:rsid w:val="66FF2185"/>
    <w:rsid w:val="66FF44D8"/>
    <w:rsid w:val="670324E1"/>
    <w:rsid w:val="67042841"/>
    <w:rsid w:val="67043CD8"/>
    <w:rsid w:val="67047826"/>
    <w:rsid w:val="67060F30"/>
    <w:rsid w:val="6709094C"/>
    <w:rsid w:val="67103435"/>
    <w:rsid w:val="671C62B8"/>
    <w:rsid w:val="672C45DA"/>
    <w:rsid w:val="67377983"/>
    <w:rsid w:val="67383A92"/>
    <w:rsid w:val="67392DA0"/>
    <w:rsid w:val="67477730"/>
    <w:rsid w:val="674F2E9C"/>
    <w:rsid w:val="67576DE3"/>
    <w:rsid w:val="676260E2"/>
    <w:rsid w:val="6779302D"/>
    <w:rsid w:val="67793D00"/>
    <w:rsid w:val="677B2640"/>
    <w:rsid w:val="677D4DB0"/>
    <w:rsid w:val="67866C49"/>
    <w:rsid w:val="679A5C0A"/>
    <w:rsid w:val="67A23844"/>
    <w:rsid w:val="67A55F5A"/>
    <w:rsid w:val="67C156F7"/>
    <w:rsid w:val="67C65129"/>
    <w:rsid w:val="67C67559"/>
    <w:rsid w:val="67C961D8"/>
    <w:rsid w:val="67C972D1"/>
    <w:rsid w:val="67CC3491"/>
    <w:rsid w:val="67CC34A0"/>
    <w:rsid w:val="67CE4679"/>
    <w:rsid w:val="67D129BC"/>
    <w:rsid w:val="67D2380C"/>
    <w:rsid w:val="67D247BF"/>
    <w:rsid w:val="67DC060B"/>
    <w:rsid w:val="67E5348B"/>
    <w:rsid w:val="67E858E8"/>
    <w:rsid w:val="67EB32ED"/>
    <w:rsid w:val="68002142"/>
    <w:rsid w:val="68050368"/>
    <w:rsid w:val="68092A4E"/>
    <w:rsid w:val="680A151E"/>
    <w:rsid w:val="681058BF"/>
    <w:rsid w:val="6829316B"/>
    <w:rsid w:val="683062C7"/>
    <w:rsid w:val="68417515"/>
    <w:rsid w:val="68442431"/>
    <w:rsid w:val="684765C6"/>
    <w:rsid w:val="6849785D"/>
    <w:rsid w:val="68507641"/>
    <w:rsid w:val="68550F51"/>
    <w:rsid w:val="68641FC7"/>
    <w:rsid w:val="68716296"/>
    <w:rsid w:val="68731F90"/>
    <w:rsid w:val="687F152B"/>
    <w:rsid w:val="68842C2F"/>
    <w:rsid w:val="689A59D5"/>
    <w:rsid w:val="68A15B62"/>
    <w:rsid w:val="68A30B2A"/>
    <w:rsid w:val="68B16F2A"/>
    <w:rsid w:val="68CF2ABD"/>
    <w:rsid w:val="68D27450"/>
    <w:rsid w:val="68D60AEF"/>
    <w:rsid w:val="68D9248D"/>
    <w:rsid w:val="68DE0B5A"/>
    <w:rsid w:val="68EB7BF5"/>
    <w:rsid w:val="690946C0"/>
    <w:rsid w:val="690E6A4B"/>
    <w:rsid w:val="69160BA1"/>
    <w:rsid w:val="691B5A99"/>
    <w:rsid w:val="691E5AC5"/>
    <w:rsid w:val="691F7931"/>
    <w:rsid w:val="693D44F8"/>
    <w:rsid w:val="69431195"/>
    <w:rsid w:val="695A65AD"/>
    <w:rsid w:val="6960555F"/>
    <w:rsid w:val="69636147"/>
    <w:rsid w:val="697049C1"/>
    <w:rsid w:val="69844344"/>
    <w:rsid w:val="69866B4C"/>
    <w:rsid w:val="69927525"/>
    <w:rsid w:val="69933DE3"/>
    <w:rsid w:val="699B66C6"/>
    <w:rsid w:val="69A32CD5"/>
    <w:rsid w:val="69AC1904"/>
    <w:rsid w:val="69BA445D"/>
    <w:rsid w:val="69BB5079"/>
    <w:rsid w:val="69CA394D"/>
    <w:rsid w:val="69D50A4D"/>
    <w:rsid w:val="69E133D6"/>
    <w:rsid w:val="69E33349"/>
    <w:rsid w:val="69E87C2C"/>
    <w:rsid w:val="69EF49B1"/>
    <w:rsid w:val="69F964EF"/>
    <w:rsid w:val="6A0C5B5F"/>
    <w:rsid w:val="6A1271C6"/>
    <w:rsid w:val="6A395FB6"/>
    <w:rsid w:val="6A3A3F28"/>
    <w:rsid w:val="6A3B70F6"/>
    <w:rsid w:val="6A4432EC"/>
    <w:rsid w:val="6A463373"/>
    <w:rsid w:val="6A536FF8"/>
    <w:rsid w:val="6A543ADC"/>
    <w:rsid w:val="6A594DE1"/>
    <w:rsid w:val="6A5F6A3E"/>
    <w:rsid w:val="6A665D62"/>
    <w:rsid w:val="6A853617"/>
    <w:rsid w:val="6A864BEB"/>
    <w:rsid w:val="6A9762EF"/>
    <w:rsid w:val="6A976EF5"/>
    <w:rsid w:val="6A9B77CD"/>
    <w:rsid w:val="6AA00870"/>
    <w:rsid w:val="6AA2432B"/>
    <w:rsid w:val="6AC30B1F"/>
    <w:rsid w:val="6AC645A2"/>
    <w:rsid w:val="6ACB1166"/>
    <w:rsid w:val="6AD770C8"/>
    <w:rsid w:val="6ADD0EE3"/>
    <w:rsid w:val="6ADD48C9"/>
    <w:rsid w:val="6AE654B4"/>
    <w:rsid w:val="6AEF5411"/>
    <w:rsid w:val="6B050BA8"/>
    <w:rsid w:val="6B246E61"/>
    <w:rsid w:val="6B2B37B6"/>
    <w:rsid w:val="6B315DF9"/>
    <w:rsid w:val="6B3304AF"/>
    <w:rsid w:val="6B346ED3"/>
    <w:rsid w:val="6B3C48C7"/>
    <w:rsid w:val="6B3C7BFF"/>
    <w:rsid w:val="6B40245C"/>
    <w:rsid w:val="6B530017"/>
    <w:rsid w:val="6B5C452B"/>
    <w:rsid w:val="6B5D54F7"/>
    <w:rsid w:val="6B7A6513"/>
    <w:rsid w:val="6B862E48"/>
    <w:rsid w:val="6B8C38B1"/>
    <w:rsid w:val="6B907273"/>
    <w:rsid w:val="6BA92007"/>
    <w:rsid w:val="6BC86C95"/>
    <w:rsid w:val="6BD3432F"/>
    <w:rsid w:val="6BD96DF1"/>
    <w:rsid w:val="6BDC409A"/>
    <w:rsid w:val="6BF12D83"/>
    <w:rsid w:val="6BF354F9"/>
    <w:rsid w:val="6C0E5BFA"/>
    <w:rsid w:val="6C104DAF"/>
    <w:rsid w:val="6C146E39"/>
    <w:rsid w:val="6C1F178E"/>
    <w:rsid w:val="6C2A01FA"/>
    <w:rsid w:val="6C2E462F"/>
    <w:rsid w:val="6C361BB4"/>
    <w:rsid w:val="6C550F08"/>
    <w:rsid w:val="6C5838BE"/>
    <w:rsid w:val="6C61392F"/>
    <w:rsid w:val="6C623948"/>
    <w:rsid w:val="6C680B25"/>
    <w:rsid w:val="6C683DF9"/>
    <w:rsid w:val="6C687CCD"/>
    <w:rsid w:val="6C8F5CE4"/>
    <w:rsid w:val="6C916336"/>
    <w:rsid w:val="6C982A73"/>
    <w:rsid w:val="6CAB6D9F"/>
    <w:rsid w:val="6CC84FD3"/>
    <w:rsid w:val="6CCB4A7A"/>
    <w:rsid w:val="6CD125B4"/>
    <w:rsid w:val="6CD37D66"/>
    <w:rsid w:val="6CED1BC3"/>
    <w:rsid w:val="6D012719"/>
    <w:rsid w:val="6D1722BC"/>
    <w:rsid w:val="6D245DEE"/>
    <w:rsid w:val="6D261535"/>
    <w:rsid w:val="6D2833E9"/>
    <w:rsid w:val="6D30643B"/>
    <w:rsid w:val="6D325D26"/>
    <w:rsid w:val="6D355D03"/>
    <w:rsid w:val="6D392697"/>
    <w:rsid w:val="6D3E6892"/>
    <w:rsid w:val="6D4146FF"/>
    <w:rsid w:val="6D4241D4"/>
    <w:rsid w:val="6D575758"/>
    <w:rsid w:val="6D64172B"/>
    <w:rsid w:val="6D6C672C"/>
    <w:rsid w:val="6D84494A"/>
    <w:rsid w:val="6D8A7575"/>
    <w:rsid w:val="6D8C5F87"/>
    <w:rsid w:val="6D9D5848"/>
    <w:rsid w:val="6D9F0283"/>
    <w:rsid w:val="6DAB3C31"/>
    <w:rsid w:val="6DAC3C9D"/>
    <w:rsid w:val="6DCB7F2C"/>
    <w:rsid w:val="6DCC3173"/>
    <w:rsid w:val="6DDD2322"/>
    <w:rsid w:val="6DE046FC"/>
    <w:rsid w:val="6DE42002"/>
    <w:rsid w:val="6DF62682"/>
    <w:rsid w:val="6E045FAD"/>
    <w:rsid w:val="6E0D2811"/>
    <w:rsid w:val="6E0F0DD7"/>
    <w:rsid w:val="6E2146B6"/>
    <w:rsid w:val="6E265860"/>
    <w:rsid w:val="6E2A5BBF"/>
    <w:rsid w:val="6E350CFD"/>
    <w:rsid w:val="6E355FE3"/>
    <w:rsid w:val="6E553542"/>
    <w:rsid w:val="6E6C03C4"/>
    <w:rsid w:val="6E73201F"/>
    <w:rsid w:val="6E7602F8"/>
    <w:rsid w:val="6E7D0F93"/>
    <w:rsid w:val="6E810900"/>
    <w:rsid w:val="6E813004"/>
    <w:rsid w:val="6E8878E7"/>
    <w:rsid w:val="6E9E0EBF"/>
    <w:rsid w:val="6EB10D39"/>
    <w:rsid w:val="6EBF3322"/>
    <w:rsid w:val="6EC9312F"/>
    <w:rsid w:val="6ECD24F2"/>
    <w:rsid w:val="6ECD2AF8"/>
    <w:rsid w:val="6ED34F12"/>
    <w:rsid w:val="6ED746A2"/>
    <w:rsid w:val="6ED82121"/>
    <w:rsid w:val="6EE4456F"/>
    <w:rsid w:val="6EF303CC"/>
    <w:rsid w:val="6EF747E3"/>
    <w:rsid w:val="6EF74AB2"/>
    <w:rsid w:val="6F0664C0"/>
    <w:rsid w:val="6F2428D1"/>
    <w:rsid w:val="6F2F1542"/>
    <w:rsid w:val="6F374233"/>
    <w:rsid w:val="6F424EB2"/>
    <w:rsid w:val="6F440397"/>
    <w:rsid w:val="6F483BDD"/>
    <w:rsid w:val="6F590FEF"/>
    <w:rsid w:val="6F60770C"/>
    <w:rsid w:val="6F6559F4"/>
    <w:rsid w:val="6F720410"/>
    <w:rsid w:val="6F941A1D"/>
    <w:rsid w:val="6FBF2A78"/>
    <w:rsid w:val="6FC82579"/>
    <w:rsid w:val="6FD05EEF"/>
    <w:rsid w:val="6FE92C1D"/>
    <w:rsid w:val="6FEC0FB6"/>
    <w:rsid w:val="6FF433D8"/>
    <w:rsid w:val="6FFA72BB"/>
    <w:rsid w:val="70042DE0"/>
    <w:rsid w:val="70070987"/>
    <w:rsid w:val="7013042B"/>
    <w:rsid w:val="70194F55"/>
    <w:rsid w:val="7022206F"/>
    <w:rsid w:val="702B3FCB"/>
    <w:rsid w:val="702E40FE"/>
    <w:rsid w:val="70365AA5"/>
    <w:rsid w:val="703A3B4C"/>
    <w:rsid w:val="7042163B"/>
    <w:rsid w:val="704B5F61"/>
    <w:rsid w:val="704D6EA6"/>
    <w:rsid w:val="70573289"/>
    <w:rsid w:val="705B1508"/>
    <w:rsid w:val="705D26D6"/>
    <w:rsid w:val="70644723"/>
    <w:rsid w:val="7069513F"/>
    <w:rsid w:val="707204BC"/>
    <w:rsid w:val="7085210B"/>
    <w:rsid w:val="70957342"/>
    <w:rsid w:val="709B5EB3"/>
    <w:rsid w:val="70A27F31"/>
    <w:rsid w:val="70CD659C"/>
    <w:rsid w:val="70CF6EFB"/>
    <w:rsid w:val="70D03C6F"/>
    <w:rsid w:val="70D31071"/>
    <w:rsid w:val="70D53071"/>
    <w:rsid w:val="70D64233"/>
    <w:rsid w:val="70D64F2A"/>
    <w:rsid w:val="70EA1762"/>
    <w:rsid w:val="70F11CF6"/>
    <w:rsid w:val="70F465E9"/>
    <w:rsid w:val="71121430"/>
    <w:rsid w:val="711A62DE"/>
    <w:rsid w:val="711C5A75"/>
    <w:rsid w:val="71296F90"/>
    <w:rsid w:val="712B15CE"/>
    <w:rsid w:val="712C0CA5"/>
    <w:rsid w:val="713325D4"/>
    <w:rsid w:val="71412A49"/>
    <w:rsid w:val="717B6E8C"/>
    <w:rsid w:val="717C3EEC"/>
    <w:rsid w:val="717D1D5F"/>
    <w:rsid w:val="718A6287"/>
    <w:rsid w:val="71922EE0"/>
    <w:rsid w:val="71950AC0"/>
    <w:rsid w:val="71962487"/>
    <w:rsid w:val="71A60E87"/>
    <w:rsid w:val="71A66F5F"/>
    <w:rsid w:val="71A84492"/>
    <w:rsid w:val="71A92C19"/>
    <w:rsid w:val="71BE4F8F"/>
    <w:rsid w:val="71CE33DF"/>
    <w:rsid w:val="71D51BE9"/>
    <w:rsid w:val="71E8673D"/>
    <w:rsid w:val="71FB3FB6"/>
    <w:rsid w:val="720075A4"/>
    <w:rsid w:val="72062812"/>
    <w:rsid w:val="72067DD9"/>
    <w:rsid w:val="720D6FCE"/>
    <w:rsid w:val="72127463"/>
    <w:rsid w:val="72205B65"/>
    <w:rsid w:val="7225781C"/>
    <w:rsid w:val="723233C1"/>
    <w:rsid w:val="724147D5"/>
    <w:rsid w:val="72444192"/>
    <w:rsid w:val="72467A1E"/>
    <w:rsid w:val="724A2750"/>
    <w:rsid w:val="725511DA"/>
    <w:rsid w:val="725711CE"/>
    <w:rsid w:val="725E70CC"/>
    <w:rsid w:val="72626043"/>
    <w:rsid w:val="72682CCC"/>
    <w:rsid w:val="7279223D"/>
    <w:rsid w:val="729A0059"/>
    <w:rsid w:val="72B95646"/>
    <w:rsid w:val="72CF2700"/>
    <w:rsid w:val="72D81170"/>
    <w:rsid w:val="72E17434"/>
    <w:rsid w:val="72FD3CF1"/>
    <w:rsid w:val="730F435D"/>
    <w:rsid w:val="732C28FC"/>
    <w:rsid w:val="733962BD"/>
    <w:rsid w:val="73453D50"/>
    <w:rsid w:val="73605246"/>
    <w:rsid w:val="73751540"/>
    <w:rsid w:val="738540C7"/>
    <w:rsid w:val="73892A35"/>
    <w:rsid w:val="7397590B"/>
    <w:rsid w:val="73A151A1"/>
    <w:rsid w:val="73A60CB1"/>
    <w:rsid w:val="73B84FB9"/>
    <w:rsid w:val="73BD588D"/>
    <w:rsid w:val="73CF37AA"/>
    <w:rsid w:val="73DF4F9C"/>
    <w:rsid w:val="73E34456"/>
    <w:rsid w:val="73F100AB"/>
    <w:rsid w:val="73F405A2"/>
    <w:rsid w:val="73F60E8F"/>
    <w:rsid w:val="73F81CB5"/>
    <w:rsid w:val="73F83552"/>
    <w:rsid w:val="73F933C1"/>
    <w:rsid w:val="741D0302"/>
    <w:rsid w:val="74221B6E"/>
    <w:rsid w:val="74327440"/>
    <w:rsid w:val="74364B65"/>
    <w:rsid w:val="74426773"/>
    <w:rsid w:val="74450536"/>
    <w:rsid w:val="74483F02"/>
    <w:rsid w:val="74527DB0"/>
    <w:rsid w:val="74653CE4"/>
    <w:rsid w:val="7467031C"/>
    <w:rsid w:val="74694254"/>
    <w:rsid w:val="746B2184"/>
    <w:rsid w:val="74742555"/>
    <w:rsid w:val="74A25EF8"/>
    <w:rsid w:val="74AC4726"/>
    <w:rsid w:val="74CD2ECB"/>
    <w:rsid w:val="74DB07A4"/>
    <w:rsid w:val="74EE2AD3"/>
    <w:rsid w:val="75042809"/>
    <w:rsid w:val="750B2E03"/>
    <w:rsid w:val="753F758A"/>
    <w:rsid w:val="75422D9F"/>
    <w:rsid w:val="754C76C7"/>
    <w:rsid w:val="754D1A93"/>
    <w:rsid w:val="756111AE"/>
    <w:rsid w:val="758B7816"/>
    <w:rsid w:val="758D1305"/>
    <w:rsid w:val="759B6FC0"/>
    <w:rsid w:val="75A05539"/>
    <w:rsid w:val="75B47306"/>
    <w:rsid w:val="75E84D5A"/>
    <w:rsid w:val="75E91390"/>
    <w:rsid w:val="75EA0D2C"/>
    <w:rsid w:val="75F200F3"/>
    <w:rsid w:val="75F51E4F"/>
    <w:rsid w:val="75FB78B7"/>
    <w:rsid w:val="761620F6"/>
    <w:rsid w:val="762D000C"/>
    <w:rsid w:val="766C3A52"/>
    <w:rsid w:val="766F1166"/>
    <w:rsid w:val="7676755D"/>
    <w:rsid w:val="767A00EE"/>
    <w:rsid w:val="76804807"/>
    <w:rsid w:val="768E7086"/>
    <w:rsid w:val="76906716"/>
    <w:rsid w:val="769634D9"/>
    <w:rsid w:val="769D397B"/>
    <w:rsid w:val="76A74E38"/>
    <w:rsid w:val="76B06F95"/>
    <w:rsid w:val="76BA6FD4"/>
    <w:rsid w:val="76DF34CA"/>
    <w:rsid w:val="76E73910"/>
    <w:rsid w:val="76E805A9"/>
    <w:rsid w:val="76F76B08"/>
    <w:rsid w:val="76FA195D"/>
    <w:rsid w:val="76FD147C"/>
    <w:rsid w:val="770C6144"/>
    <w:rsid w:val="77155FE3"/>
    <w:rsid w:val="772536D9"/>
    <w:rsid w:val="77323879"/>
    <w:rsid w:val="773474E0"/>
    <w:rsid w:val="774B3C84"/>
    <w:rsid w:val="774B6D8C"/>
    <w:rsid w:val="77557272"/>
    <w:rsid w:val="77690E3A"/>
    <w:rsid w:val="777608C4"/>
    <w:rsid w:val="77797AD0"/>
    <w:rsid w:val="77810ACA"/>
    <w:rsid w:val="778973BA"/>
    <w:rsid w:val="778B57D1"/>
    <w:rsid w:val="778B628D"/>
    <w:rsid w:val="77947A02"/>
    <w:rsid w:val="77B27674"/>
    <w:rsid w:val="77C807C9"/>
    <w:rsid w:val="77C82E7D"/>
    <w:rsid w:val="77DA5FEF"/>
    <w:rsid w:val="77E72A7F"/>
    <w:rsid w:val="77FB3C4C"/>
    <w:rsid w:val="7800111A"/>
    <w:rsid w:val="780B2B23"/>
    <w:rsid w:val="78121504"/>
    <w:rsid w:val="781422C3"/>
    <w:rsid w:val="781513A5"/>
    <w:rsid w:val="782254C5"/>
    <w:rsid w:val="78322CC4"/>
    <w:rsid w:val="783719BD"/>
    <w:rsid w:val="785A3E5B"/>
    <w:rsid w:val="785C63A4"/>
    <w:rsid w:val="786842CA"/>
    <w:rsid w:val="78724835"/>
    <w:rsid w:val="78753EE9"/>
    <w:rsid w:val="788462D5"/>
    <w:rsid w:val="78865B87"/>
    <w:rsid w:val="788C4DCD"/>
    <w:rsid w:val="789A3934"/>
    <w:rsid w:val="78B267BB"/>
    <w:rsid w:val="78CD2A29"/>
    <w:rsid w:val="78D05D4E"/>
    <w:rsid w:val="78D277D6"/>
    <w:rsid w:val="78D41F06"/>
    <w:rsid w:val="78D46652"/>
    <w:rsid w:val="78EC6D2A"/>
    <w:rsid w:val="78F16F54"/>
    <w:rsid w:val="78FB4CC4"/>
    <w:rsid w:val="78FE6FBF"/>
    <w:rsid w:val="790324C1"/>
    <w:rsid w:val="790A1291"/>
    <w:rsid w:val="7923534A"/>
    <w:rsid w:val="79354183"/>
    <w:rsid w:val="79457C64"/>
    <w:rsid w:val="794D1173"/>
    <w:rsid w:val="795229CA"/>
    <w:rsid w:val="79575F95"/>
    <w:rsid w:val="79583C2A"/>
    <w:rsid w:val="796C3BC4"/>
    <w:rsid w:val="797072D5"/>
    <w:rsid w:val="79801D65"/>
    <w:rsid w:val="79815B70"/>
    <w:rsid w:val="7986345D"/>
    <w:rsid w:val="798E02C4"/>
    <w:rsid w:val="79962507"/>
    <w:rsid w:val="79AE441D"/>
    <w:rsid w:val="79C64FAC"/>
    <w:rsid w:val="79DB2756"/>
    <w:rsid w:val="7A025C1F"/>
    <w:rsid w:val="7A095411"/>
    <w:rsid w:val="7A105A45"/>
    <w:rsid w:val="7A181572"/>
    <w:rsid w:val="7A317507"/>
    <w:rsid w:val="7A530ADE"/>
    <w:rsid w:val="7A56628E"/>
    <w:rsid w:val="7A627B2F"/>
    <w:rsid w:val="7A7360F1"/>
    <w:rsid w:val="7A753223"/>
    <w:rsid w:val="7A795879"/>
    <w:rsid w:val="7A7D56D1"/>
    <w:rsid w:val="7A8234FA"/>
    <w:rsid w:val="7A971CEC"/>
    <w:rsid w:val="7A9D56E6"/>
    <w:rsid w:val="7AA35591"/>
    <w:rsid w:val="7AA35D86"/>
    <w:rsid w:val="7AAC4826"/>
    <w:rsid w:val="7AB54AE7"/>
    <w:rsid w:val="7AB6120A"/>
    <w:rsid w:val="7ABB4885"/>
    <w:rsid w:val="7ACC5326"/>
    <w:rsid w:val="7ACF2E11"/>
    <w:rsid w:val="7AE57EE4"/>
    <w:rsid w:val="7B012F74"/>
    <w:rsid w:val="7B0D5269"/>
    <w:rsid w:val="7B15597B"/>
    <w:rsid w:val="7B230EE7"/>
    <w:rsid w:val="7B23465F"/>
    <w:rsid w:val="7B255F47"/>
    <w:rsid w:val="7B44096D"/>
    <w:rsid w:val="7B580B44"/>
    <w:rsid w:val="7B5F06ED"/>
    <w:rsid w:val="7B666BC5"/>
    <w:rsid w:val="7B6C3D66"/>
    <w:rsid w:val="7B7009E0"/>
    <w:rsid w:val="7B75763E"/>
    <w:rsid w:val="7B8D3419"/>
    <w:rsid w:val="7B913C3F"/>
    <w:rsid w:val="7B98693D"/>
    <w:rsid w:val="7B993ED6"/>
    <w:rsid w:val="7B9B587A"/>
    <w:rsid w:val="7B9F720B"/>
    <w:rsid w:val="7BA1013A"/>
    <w:rsid w:val="7BA25798"/>
    <w:rsid w:val="7BB521A5"/>
    <w:rsid w:val="7BB6705C"/>
    <w:rsid w:val="7BB81EC1"/>
    <w:rsid w:val="7BBB5121"/>
    <w:rsid w:val="7BC24FB0"/>
    <w:rsid w:val="7BC84B2E"/>
    <w:rsid w:val="7BD60589"/>
    <w:rsid w:val="7BD75484"/>
    <w:rsid w:val="7BF01B4F"/>
    <w:rsid w:val="7BFC3D99"/>
    <w:rsid w:val="7C0117AC"/>
    <w:rsid w:val="7C037EF8"/>
    <w:rsid w:val="7C0953EB"/>
    <w:rsid w:val="7C0C3AC0"/>
    <w:rsid w:val="7C0F3E38"/>
    <w:rsid w:val="7C1E2B84"/>
    <w:rsid w:val="7C2E505B"/>
    <w:rsid w:val="7C304D18"/>
    <w:rsid w:val="7C410D4B"/>
    <w:rsid w:val="7C6A1F6C"/>
    <w:rsid w:val="7C8B2272"/>
    <w:rsid w:val="7C8E4C52"/>
    <w:rsid w:val="7C9634AB"/>
    <w:rsid w:val="7C971F00"/>
    <w:rsid w:val="7C993277"/>
    <w:rsid w:val="7C9A0DE4"/>
    <w:rsid w:val="7CA74CFF"/>
    <w:rsid w:val="7CA83C1B"/>
    <w:rsid w:val="7CAA5443"/>
    <w:rsid w:val="7CB0365E"/>
    <w:rsid w:val="7CBA7331"/>
    <w:rsid w:val="7CD52B9D"/>
    <w:rsid w:val="7CE02F02"/>
    <w:rsid w:val="7CE44971"/>
    <w:rsid w:val="7CE76EE1"/>
    <w:rsid w:val="7CEC241A"/>
    <w:rsid w:val="7D083974"/>
    <w:rsid w:val="7D0A3D65"/>
    <w:rsid w:val="7D136ABE"/>
    <w:rsid w:val="7D343777"/>
    <w:rsid w:val="7D370358"/>
    <w:rsid w:val="7D4A7C9F"/>
    <w:rsid w:val="7D4C45D4"/>
    <w:rsid w:val="7D4E6071"/>
    <w:rsid w:val="7D6A418F"/>
    <w:rsid w:val="7D711162"/>
    <w:rsid w:val="7D7F1555"/>
    <w:rsid w:val="7D886368"/>
    <w:rsid w:val="7D8B4585"/>
    <w:rsid w:val="7D9949E3"/>
    <w:rsid w:val="7DA06464"/>
    <w:rsid w:val="7DA74955"/>
    <w:rsid w:val="7DAF46E5"/>
    <w:rsid w:val="7DB44AAD"/>
    <w:rsid w:val="7DB6143F"/>
    <w:rsid w:val="7DC77DE7"/>
    <w:rsid w:val="7DDE0AE1"/>
    <w:rsid w:val="7DE2179F"/>
    <w:rsid w:val="7DEA7913"/>
    <w:rsid w:val="7DED6BCB"/>
    <w:rsid w:val="7DF2228E"/>
    <w:rsid w:val="7DF95781"/>
    <w:rsid w:val="7DFA60C9"/>
    <w:rsid w:val="7DFA6949"/>
    <w:rsid w:val="7DFB0E6A"/>
    <w:rsid w:val="7DFE0CDF"/>
    <w:rsid w:val="7E07576D"/>
    <w:rsid w:val="7E135955"/>
    <w:rsid w:val="7E180F00"/>
    <w:rsid w:val="7E4E34B8"/>
    <w:rsid w:val="7E545EEC"/>
    <w:rsid w:val="7E567B75"/>
    <w:rsid w:val="7E567F88"/>
    <w:rsid w:val="7E6E31A8"/>
    <w:rsid w:val="7E762895"/>
    <w:rsid w:val="7E8C0504"/>
    <w:rsid w:val="7E94766D"/>
    <w:rsid w:val="7EA5280F"/>
    <w:rsid w:val="7EB11F0A"/>
    <w:rsid w:val="7EBE22A4"/>
    <w:rsid w:val="7EC71241"/>
    <w:rsid w:val="7ED1028C"/>
    <w:rsid w:val="7ED30290"/>
    <w:rsid w:val="7ED66CBB"/>
    <w:rsid w:val="7EF85232"/>
    <w:rsid w:val="7EF97AFC"/>
    <w:rsid w:val="7F043654"/>
    <w:rsid w:val="7F1024C1"/>
    <w:rsid w:val="7F177BEA"/>
    <w:rsid w:val="7F1E6F79"/>
    <w:rsid w:val="7F1E7D2C"/>
    <w:rsid w:val="7F2C5577"/>
    <w:rsid w:val="7F301721"/>
    <w:rsid w:val="7F305079"/>
    <w:rsid w:val="7F4C646B"/>
    <w:rsid w:val="7F5102FC"/>
    <w:rsid w:val="7F552998"/>
    <w:rsid w:val="7F613E71"/>
    <w:rsid w:val="7F7306A8"/>
    <w:rsid w:val="7F744235"/>
    <w:rsid w:val="7F82460D"/>
    <w:rsid w:val="7F846167"/>
    <w:rsid w:val="7F925BD1"/>
    <w:rsid w:val="7F962F2F"/>
    <w:rsid w:val="7F9C3D63"/>
    <w:rsid w:val="7FA34254"/>
    <w:rsid w:val="7FB923C9"/>
    <w:rsid w:val="7FC26124"/>
    <w:rsid w:val="7FD505E0"/>
    <w:rsid w:val="7FEE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2"/>
    <w:basedOn w:val="1"/>
    <w:next w:val="1"/>
    <w:unhideWhenUsed/>
    <w:qFormat/>
    <w:uiPriority w:val="0"/>
    <w:pPr>
      <w:keepNext/>
      <w:keepLines/>
      <w:spacing w:line="560" w:lineRule="exact"/>
      <w:ind w:firstLine="160" w:firstLineChars="50"/>
      <w:outlineLvl w:val="1"/>
    </w:pPr>
    <w:rPr>
      <w:rFonts w:ascii="Arial" w:hAnsi="Arial" w:eastAsia="宋体"/>
      <w:b/>
      <w:bCs/>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32508;&#21512;&#26680;&#31639;\&#20803;&#27743;&#21439;&#32479;&#35745;&#20844;&#25253;\2020&#24180;&#32479;&#35745;&#20844;&#25253;\2020&#24180;&#20844;&#25253;&#33609;&#312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32508;&#21512;&#26680;&#31639;\&#20803;&#27743;&#21439;&#32479;&#35745;&#20844;&#25253;\2020&#24180;&#32479;&#35745;&#20844;&#25253;\2020&#24180;&#20844;&#25253;&#33609;&#312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32508;&#21512;&#26680;&#31639;\&#20803;&#27743;&#21439;&#32479;&#35745;&#20844;&#25253;\2020&#24180;&#32479;&#35745;&#20844;&#25253;\2020&#24180;&#20844;&#25253;&#33609;&#312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32508;&#21512;&#26680;&#31639;\&#20803;&#27743;&#21439;&#32479;&#35745;&#20844;&#25253;\2020&#24180;&#32479;&#35745;&#20844;&#25253;\2020&#24180;&#20844;&#25253;&#33609;&#312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G:\&#32508;&#21512;&#26680;&#31639;\&#20803;&#27743;&#21439;&#32479;&#35745;&#20844;&#25253;\2020&#24180;&#32479;&#35745;&#20844;&#25253;\2020&#24180;&#20844;&#25253;&#33609;&#312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G:\&#32508;&#21512;&#26680;&#31639;\&#20803;&#27743;&#21439;&#32479;&#35745;&#20844;&#25253;\2020&#24180;&#32479;&#35745;&#20844;&#25253;\2020&#24180;&#20844;&#25253;&#33609;&#312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G:\&#32508;&#21512;&#26680;&#31639;\&#20803;&#27743;&#21439;&#32479;&#35745;&#20844;&#25253;\2020&#24180;&#32479;&#35745;&#20844;&#25253;\2020&#24180;&#20844;&#25253;&#33609;&#312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r>
              <a:rPr sz="1200" b="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图1  20</a:t>
            </a:r>
            <a:r>
              <a:rPr lang="en-US" altLang="zh-CN" sz="1200" b="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16</a:t>
            </a:r>
            <a:r>
              <a:rPr sz="1200" b="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—20</a:t>
            </a:r>
            <a:r>
              <a:rPr lang="en-US" altLang="zh-CN" sz="1200" b="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20</a:t>
            </a:r>
            <a:r>
              <a:rPr sz="1200" b="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年地区生产总值及其增长速度</a:t>
            </a:r>
            <a:endParaRPr sz="1200" b="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184130284130284"/>
          <c:y val="0.015977844056242"/>
        </c:manualLayout>
      </c:layout>
      <c:overlay val="0"/>
      <c:spPr>
        <a:noFill/>
        <a:ln>
          <a:noFill/>
        </a:ln>
        <a:effectLst/>
      </c:spPr>
    </c:title>
    <c:autoTitleDeleted val="0"/>
    <c:plotArea>
      <c:layout/>
      <c:barChart>
        <c:barDir val="col"/>
        <c:grouping val="clustered"/>
        <c:varyColors val="0"/>
        <c:ser>
          <c:idx val="0"/>
          <c:order val="0"/>
          <c:tx>
            <c:strRef>
              <c:f>[2020年公报草稿.xlsx]图!$A$2</c:f>
              <c:strCache>
                <c:ptCount val="1"/>
                <c:pt idx="0">
                  <c:v>绝对值</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0021165514321998"/>
                  <c:y val="-0.04970068582208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084443610433477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[2020年公报草稿.xlsx]图!$B$1:$F$1</c:f>
              <c:strCache>
                <c:ptCount val="5"/>
                <c:pt idx="0">
                  <c:v>2016年</c:v>
                </c:pt>
                <c:pt idx="1">
                  <c:v>2017年</c:v>
                </c:pt>
                <c:pt idx="2">
                  <c:v>2018年</c:v>
                </c:pt>
                <c:pt idx="3">
                  <c:v>2019年</c:v>
                </c:pt>
                <c:pt idx="4">
                  <c:v>2020年</c:v>
                </c:pt>
              </c:strCache>
            </c:strRef>
          </c:cat>
          <c:val>
            <c:numRef>
              <c:f>[2020年公报草稿.xlsx]图!$B$2:$F$2</c:f>
              <c:numCache>
                <c:formatCode>0_ </c:formatCode>
                <c:ptCount val="5"/>
                <c:pt idx="0">
                  <c:v>789785</c:v>
                </c:pt>
                <c:pt idx="1">
                  <c:v>918275</c:v>
                </c:pt>
                <c:pt idx="2">
                  <c:v>1030154</c:v>
                </c:pt>
                <c:pt idx="3" c:formatCode="General">
                  <c:v>1170352</c:v>
                </c:pt>
                <c:pt idx="4" c:formatCode="General">
                  <c:v>1242585</c:v>
                </c:pt>
              </c:numCache>
            </c:numRef>
          </c:val>
        </c:ser>
        <c:dLbls>
          <c:showLegendKey val="0"/>
          <c:showVal val="1"/>
          <c:showCatName val="0"/>
          <c:showSerName val="0"/>
          <c:showPercent val="0"/>
          <c:showBubbleSize val="0"/>
        </c:dLbls>
        <c:gapWidth val="138"/>
        <c:overlap val="0"/>
        <c:axId val="767302560"/>
        <c:axId val="764958370"/>
      </c:barChart>
      <c:lineChart>
        <c:grouping val="standard"/>
        <c:varyColors val="0"/>
        <c:ser>
          <c:idx val="1"/>
          <c:order val="1"/>
          <c:tx>
            <c:strRef>
              <c:f>[2020年公报草稿.xlsx]图!$A$3</c:f>
              <c:strCache>
                <c:ptCount val="1"/>
                <c:pt idx="0">
                  <c:v>可比价增速</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solidFill>
                <a:schemeClr val="bg1"/>
              </a:solidFill>
              <a:ln w="9525">
                <a:solidFill>
                  <a:schemeClr val="accent2"/>
                </a:solidFill>
                <a:round/>
              </a:ln>
              <a:effectLst>
                <a:outerShdw blurRad="57150" dist="19050" dir="5400000" algn="ctr" rotWithShape="0">
                  <a:srgbClr val="000000">
                    <a:alpha val="63000"/>
                  </a:srgbClr>
                </a:outerShdw>
              </a:effectLst>
            </c:spPr>
          </c:marker>
          <c:dLbls>
            <c:dLbl>
              <c:idx val="0"/>
              <c:layout>
                <c:manualLayout>
                  <c:x val="-0.0042331028643996"/>
                  <c:y val="-0.0278486887909028"/>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104432582965885"/>
                </c:manualLayout>
              </c:layout>
              <c:dLblPos val="b"/>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0582757160999"/>
                  <c:y val="-0.100951496867023"/>
                </c:manualLayout>
              </c:layout>
              <c:dLblPos val="b"/>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[2020年公报草稿.xlsx]图!$B$1:$F$1</c:f>
              <c:strCache>
                <c:ptCount val="5"/>
                <c:pt idx="0">
                  <c:v>2016年</c:v>
                </c:pt>
                <c:pt idx="1">
                  <c:v>2017年</c:v>
                </c:pt>
                <c:pt idx="2">
                  <c:v>2018年</c:v>
                </c:pt>
                <c:pt idx="3">
                  <c:v>2019年</c:v>
                </c:pt>
                <c:pt idx="4">
                  <c:v>2020年</c:v>
                </c:pt>
              </c:strCache>
            </c:strRef>
          </c:cat>
          <c:val>
            <c:numRef>
              <c:f>[2020年公报草稿.xlsx]图!$B$3:$F$3</c:f>
              <c:numCache>
                <c:formatCode>0.0_);[Red]\(0.0\)</c:formatCode>
                <c:ptCount val="5"/>
                <c:pt idx="0">
                  <c:v>12.5</c:v>
                </c:pt>
                <c:pt idx="1">
                  <c:v>13.5</c:v>
                </c:pt>
                <c:pt idx="2" c:formatCode="0.0_ ">
                  <c:v>8.8</c:v>
                </c:pt>
                <c:pt idx="3" c:formatCode="General">
                  <c:v>9.6</c:v>
                </c:pt>
                <c:pt idx="4" c:formatCode="General">
                  <c:v>1.7</c:v>
                </c:pt>
              </c:numCache>
            </c:numRef>
          </c:val>
          <c:smooth val="0"/>
        </c:ser>
        <c:dLbls>
          <c:showLegendKey val="0"/>
          <c:showVal val="1"/>
          <c:showCatName val="0"/>
          <c:showSerName val="0"/>
          <c:showPercent val="0"/>
          <c:showBubbleSize val="0"/>
        </c:dLbls>
        <c:marker val="1"/>
        <c:smooth val="0"/>
        <c:axId val="218532923"/>
        <c:axId val="246368435"/>
      </c:lineChart>
      <c:catAx>
        <c:axId val="767302560"/>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p>
        </c:txPr>
        <c:crossAx val="764958370"/>
        <c:crosses val="autoZero"/>
        <c:auto val="1"/>
        <c:lblAlgn val="ctr"/>
        <c:lblOffset val="100"/>
        <c:noMultiLvlLbl val="0"/>
      </c:catAx>
      <c:valAx>
        <c:axId val="76495837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万元</a:t>
                </a:r>
                <a:endParaRPr>
                  <a:solidFill>
                    <a:sysClr val="windowText" lastClr="000000"/>
                  </a:solidFill>
                </a:endParaRPr>
              </a:p>
            </c:rich>
          </c:tx>
          <c:layout>
            <c:manualLayout>
              <c:xMode val="edge"/>
              <c:yMode val="edge"/>
              <c:x val="0.107415107415107"/>
              <c:y val="0.0734831028301416"/>
            </c:manualLayout>
          </c:layout>
          <c:overlay val="0"/>
          <c:spPr>
            <a:noFill/>
            <a:ln>
              <a:noFill/>
            </a:ln>
            <a:effectLst/>
          </c:spPr>
        </c:title>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p>
        </c:txPr>
        <c:crossAx val="767302560"/>
        <c:crosses val="autoZero"/>
        <c:crossBetween val="between"/>
        <c:majorUnit val="200000"/>
      </c:valAx>
      <c:catAx>
        <c:axId val="218532923"/>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368435"/>
        <c:crosses val="autoZero"/>
        <c:auto val="1"/>
        <c:lblAlgn val="ctr"/>
        <c:lblOffset val="100"/>
        <c:noMultiLvlLbl val="0"/>
      </c:catAx>
      <c:valAx>
        <c:axId val="246368435"/>
        <c:scaling>
          <c:orientation val="minMax"/>
          <c:max val="20"/>
          <c:min val="0"/>
        </c:scaling>
        <c:delete val="0"/>
        <c:axPos val="r"/>
        <c:title>
          <c:tx>
            <c:rich>
              <a:bodyPr rot="0" spcFirstLastPara="0" vertOverflow="ellipsis" vert="horz" wrap="square" anchor="ctr" anchorCtr="1"/>
              <a:lstStyle/>
              <a:p>
                <a:pPr defTabSz="914400">
                  <a:defRPr lang="zh-CN" sz="900" b="0" i="0" u="none" strike="noStrike" kern="1200" baseline="0">
                    <a:solidFill>
                      <a:sysClr val="windowText" lastClr="000000"/>
                    </a:solidFill>
                    <a:latin typeface="+mn-lt"/>
                    <a:ea typeface="+mn-ea"/>
                    <a:cs typeface="+mn-cs"/>
                  </a:defRPr>
                </a:pPr>
                <a:r>
                  <a:rPr>
                    <a:solidFill>
                      <a:sysClr val="windowText" lastClr="000000"/>
                    </a:solidFill>
                  </a:rPr>
                  <a:t>%</a:t>
                </a:r>
                <a:endParaRPr>
                  <a:solidFill>
                    <a:sysClr val="windowText" lastClr="000000"/>
                  </a:solidFill>
                </a:endParaRPr>
              </a:p>
            </c:rich>
          </c:tx>
          <c:layout>
            <c:manualLayout>
              <c:xMode val="edge"/>
              <c:yMode val="edge"/>
              <c:x val="0.892584892584892"/>
              <c:y val="0.0776949296974862"/>
            </c:manualLayout>
          </c:layout>
          <c:overlay val="0"/>
          <c:spPr>
            <a:noFill/>
            <a:ln>
              <a:noFill/>
            </a:ln>
            <a:effectLst/>
          </c:spPr>
        </c:title>
        <c:numFmt formatCode="0.0_);[Red]\(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p>
        </c:txPr>
        <c:crossAx val="218532923"/>
        <c:crosses val="max"/>
        <c:crossBetween val="between"/>
        <c:majorUnit val="3"/>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1200" b="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图</a:t>
            </a:r>
            <a:r>
              <a:rPr lang="en-US" altLang="zh-CN" sz="1200" b="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2  2016-2020年三次产业占地区生产总值比重</a:t>
            </a:r>
            <a:endParaRPr lang="en-US" altLang="zh-CN" sz="1200" b="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179930555555556"/>
          <c:y val="0.0277777777777778"/>
        </c:manualLayout>
      </c:layout>
      <c:overlay val="0"/>
      <c:spPr>
        <a:noFill/>
        <a:ln>
          <a:noFill/>
        </a:ln>
        <a:effectLst/>
      </c:spPr>
    </c:title>
    <c:autoTitleDeleted val="0"/>
    <c:plotArea>
      <c:layout/>
      <c:barChart>
        <c:barDir val="col"/>
        <c:grouping val="stacked"/>
        <c:varyColors val="0"/>
        <c:ser>
          <c:idx val="0"/>
          <c:order val="0"/>
          <c:tx>
            <c:strRef>
              <c:f>[2020年公报草稿.xlsx]图!$B$22</c:f>
              <c:strCache>
                <c:ptCount val="1"/>
                <c:pt idx="0">
                  <c:v>第一产业</c:v>
                </c:pt>
              </c:strCache>
            </c:strRef>
          </c:tx>
          <c:spPr>
            <a:solidFill>
              <a:srgbClr val="0070C0"/>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[2020年公报草稿.xlsx]图!$C$21:$G$21</c:f>
              <c:strCache>
                <c:ptCount val="5"/>
                <c:pt idx="0">
                  <c:v>2016年</c:v>
                </c:pt>
                <c:pt idx="1">
                  <c:v>2017年</c:v>
                </c:pt>
                <c:pt idx="2">
                  <c:v>2018年</c:v>
                </c:pt>
                <c:pt idx="3">
                  <c:v>2019年</c:v>
                </c:pt>
                <c:pt idx="4">
                  <c:v>2020年</c:v>
                </c:pt>
              </c:strCache>
            </c:strRef>
          </c:cat>
          <c:val>
            <c:numRef>
              <c:f>[2020年公报草稿.xlsx]图!$C$22:$G$22</c:f>
              <c:numCache>
                <c:formatCode>0.0_ </c:formatCode>
                <c:ptCount val="5"/>
                <c:pt idx="0">
                  <c:v>23.5114619801592</c:v>
                </c:pt>
                <c:pt idx="1">
                  <c:v>21.3131142631565</c:v>
                </c:pt>
                <c:pt idx="2">
                  <c:v>20.2347416017411</c:v>
                </c:pt>
                <c:pt idx="3">
                  <c:v>22.0016712920557</c:v>
                </c:pt>
                <c:pt idx="4">
                  <c:v>25.1916770281309</c:v>
                </c:pt>
              </c:numCache>
            </c:numRef>
          </c:val>
        </c:ser>
        <c:ser>
          <c:idx val="1"/>
          <c:order val="1"/>
          <c:tx>
            <c:strRef>
              <c:f>[2020年公报草稿.xlsx]图!$B$23</c:f>
              <c:strCache>
                <c:ptCount val="1"/>
                <c:pt idx="0">
                  <c:v>第二产业</c:v>
                </c:pt>
              </c:strCache>
            </c:strRef>
          </c:tx>
          <c:spPr>
            <a:solidFill>
              <a:srgbClr val="FF6C0D"/>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[2020年公报草稿.xlsx]图!$C$21:$G$21</c:f>
              <c:strCache>
                <c:ptCount val="5"/>
                <c:pt idx="0">
                  <c:v>2016年</c:v>
                </c:pt>
                <c:pt idx="1">
                  <c:v>2017年</c:v>
                </c:pt>
                <c:pt idx="2">
                  <c:v>2018年</c:v>
                </c:pt>
                <c:pt idx="3">
                  <c:v>2019年</c:v>
                </c:pt>
                <c:pt idx="4">
                  <c:v>2020年</c:v>
                </c:pt>
              </c:strCache>
            </c:strRef>
          </c:cat>
          <c:val>
            <c:numRef>
              <c:f>[2020年公报草稿.xlsx]图!$C$23:$G$23</c:f>
              <c:numCache>
                <c:formatCode>0.0_ </c:formatCode>
                <c:ptCount val="5"/>
                <c:pt idx="0">
                  <c:v>26.6326911754465</c:v>
                </c:pt>
                <c:pt idx="1">
                  <c:v>29.1755737660287</c:v>
                </c:pt>
                <c:pt idx="2">
                  <c:v>28.8796626523801</c:v>
                </c:pt>
                <c:pt idx="3">
                  <c:v>29.3345933531109</c:v>
                </c:pt>
                <c:pt idx="4">
                  <c:v>27.0432203833138</c:v>
                </c:pt>
              </c:numCache>
            </c:numRef>
          </c:val>
        </c:ser>
        <c:ser>
          <c:idx val="2"/>
          <c:order val="2"/>
          <c:tx>
            <c:strRef>
              <c:f>[2020年公报草稿.xlsx]图!$B$24</c:f>
              <c:strCache>
                <c:ptCount val="1"/>
                <c:pt idx="0">
                  <c:v>第三产业</c:v>
                </c:pt>
              </c:strCache>
            </c:strRef>
          </c:tx>
          <c:spPr>
            <a:solidFill>
              <a:srgbClr val="00B050"/>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[2020年公报草稿.xlsx]图!$C$21:$G$21</c:f>
              <c:strCache>
                <c:ptCount val="5"/>
                <c:pt idx="0">
                  <c:v>2016年</c:v>
                </c:pt>
                <c:pt idx="1">
                  <c:v>2017年</c:v>
                </c:pt>
                <c:pt idx="2">
                  <c:v>2018年</c:v>
                </c:pt>
                <c:pt idx="3">
                  <c:v>2019年</c:v>
                </c:pt>
                <c:pt idx="4">
                  <c:v>2020年</c:v>
                </c:pt>
              </c:strCache>
            </c:strRef>
          </c:cat>
          <c:val>
            <c:numRef>
              <c:f>[2020年公报草稿.xlsx]图!$C$24:$G$24</c:f>
              <c:numCache>
                <c:formatCode>0.0_ </c:formatCode>
                <c:ptCount val="5"/>
                <c:pt idx="0">
                  <c:v>49.8558468443944</c:v>
                </c:pt>
                <c:pt idx="1">
                  <c:v>49.5113119708148</c:v>
                </c:pt>
                <c:pt idx="2">
                  <c:v>50.8855957458788</c:v>
                </c:pt>
                <c:pt idx="3">
                  <c:v>48.6637353548334</c:v>
                </c:pt>
                <c:pt idx="4">
                  <c:v>47.7651025885553</c:v>
                </c:pt>
              </c:numCache>
            </c:numRef>
          </c:val>
        </c:ser>
        <c:dLbls>
          <c:showLegendKey val="0"/>
          <c:showVal val="1"/>
          <c:showCatName val="0"/>
          <c:showSerName val="0"/>
          <c:showPercent val="0"/>
          <c:showBubbleSize val="0"/>
        </c:dLbls>
        <c:gapWidth val="150"/>
        <c:overlap val="100"/>
        <c:axId val="589194986"/>
        <c:axId val="801438331"/>
      </c:barChart>
      <c:catAx>
        <c:axId val="589194986"/>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p>
        </c:txPr>
        <c:crossAx val="801438331"/>
        <c:crosses val="autoZero"/>
        <c:auto val="1"/>
        <c:lblAlgn val="ctr"/>
        <c:lblOffset val="100"/>
        <c:noMultiLvlLbl val="0"/>
      </c:catAx>
      <c:valAx>
        <c:axId val="801438331"/>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9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lang="en-US" altLang="zh-CN" b="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lang="en-US" altLang="zh-CN" b="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layout>
            <c:manualLayout>
              <c:xMode val="edge"/>
              <c:yMode val="edge"/>
              <c:x val="0.0854166666666667"/>
              <c:y val="0.0789814814814815"/>
            </c:manualLayout>
          </c:layout>
          <c:overlay val="0"/>
          <c:spPr>
            <a:noFill/>
            <a:ln>
              <a:noFill/>
            </a:ln>
            <a:effectLst/>
          </c:spPr>
        </c:title>
        <c:numFmt formatCode="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p>
        </c:txPr>
        <c:crossAx val="58919498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r>
              <a:rPr altLang="en-US"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图</a:t>
            </a:r>
            <a:r>
              <a:rPr lang="en-US" altLang="zh-CN"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3 2016-2020</a:t>
            </a:r>
            <a:r>
              <a:rPr altLang="en-US"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年粮食总产量</a:t>
            </a:r>
            <a:endParaRPr altLang="en-US"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306867716146116"/>
          <c:y val="0.0319497007071453"/>
        </c:manualLayout>
      </c:layout>
      <c:overlay val="0"/>
      <c:spPr>
        <a:noFill/>
        <a:ln>
          <a:noFill/>
        </a:ln>
        <a:effectLst/>
      </c:spPr>
    </c:title>
    <c:autoTitleDeleted val="0"/>
    <c:plotArea>
      <c:layout>
        <c:manualLayout>
          <c:layoutTarget val="inner"/>
          <c:xMode val="edge"/>
          <c:yMode val="edge"/>
          <c:x val="0.0323024054982818"/>
          <c:y val="0.166593790992567"/>
          <c:w val="0.939518900343643"/>
          <c:h val="0.785308264101443"/>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[2020年公报草稿.xlsx]图!$B$41:$B$45</c:f>
              <c:strCache>
                <c:ptCount val="5"/>
                <c:pt idx="0">
                  <c:v>2016年</c:v>
                </c:pt>
                <c:pt idx="1">
                  <c:v>2017年</c:v>
                </c:pt>
                <c:pt idx="2">
                  <c:v>2018年</c:v>
                </c:pt>
                <c:pt idx="3">
                  <c:v>2019年</c:v>
                </c:pt>
                <c:pt idx="4">
                  <c:v>2020年</c:v>
                </c:pt>
              </c:strCache>
            </c:strRef>
          </c:cat>
          <c:val>
            <c:numRef>
              <c:f>[2020年公报草稿.xlsx]图!$C$41:$C$45</c:f>
              <c:numCache>
                <c:formatCode>0.0_ </c:formatCode>
                <c:ptCount val="5"/>
                <c:pt idx="0">
                  <c:v>8917.7</c:v>
                </c:pt>
                <c:pt idx="1">
                  <c:v>9124.6</c:v>
                </c:pt>
                <c:pt idx="2">
                  <c:v>9306</c:v>
                </c:pt>
                <c:pt idx="3">
                  <c:v>9345</c:v>
                </c:pt>
                <c:pt idx="4">
                  <c:v>9496.46</c:v>
                </c:pt>
              </c:numCache>
            </c:numRef>
          </c:val>
        </c:ser>
        <c:ser>
          <c:idx val="1"/>
          <c:order val="1"/>
          <c:spPr>
            <a:solidFill>
              <a:schemeClr val="accent2"/>
            </a:solidFill>
            <a:ln>
              <a:noFill/>
            </a:ln>
            <a:effectLst/>
          </c:spPr>
          <c:invertIfNegative val="0"/>
          <c:dPt>
            <c:idx val="0"/>
            <c:invertIfNegative val="0"/>
            <c:bubble3D val="0"/>
            <c:spPr>
              <a:solidFill>
                <a:srgbClr val="00B050"/>
              </a:solidFill>
              <a:ln>
                <a:noFill/>
              </a:ln>
              <a:effectLst/>
            </c:spPr>
          </c:dPt>
          <c:dPt>
            <c:idx val="1"/>
            <c:invertIfNegative val="0"/>
            <c:bubble3D val="0"/>
            <c:spPr>
              <a:solidFill>
                <a:schemeClr val="accent3">
                  <a:lumMod val="75000"/>
                </a:schemeClr>
              </a:solidFill>
              <a:ln>
                <a:noFill/>
              </a:ln>
              <a:effectLst/>
            </c:spPr>
          </c:dPt>
          <c:dPt>
            <c:idx val="3"/>
            <c:invertIfNegative val="0"/>
            <c:bubble3D val="0"/>
            <c:spPr>
              <a:solidFill>
                <a:schemeClr val="accent4">
                  <a:lumMod val="75000"/>
                </a:schemeClr>
              </a:solidFill>
              <a:ln>
                <a:noFill/>
              </a:ln>
              <a:effectLst/>
            </c:spPr>
          </c:dPt>
          <c:dPt>
            <c:idx val="4"/>
            <c:invertIfNegative val="0"/>
            <c:bubble3D val="0"/>
            <c:spPr>
              <a:solidFill>
                <a:schemeClr val="accent1">
                  <a:lumMod val="75000"/>
                </a:schemeClr>
              </a:solidFill>
              <a:ln>
                <a:noFill/>
              </a:ln>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bg1"/>
                        </a:solidFill>
                        <a:latin typeface="Arial Unicode MS" pitchFamily="2" charset="-122"/>
                        <a:ea typeface="Arial Unicode MS" pitchFamily="2" charset="-122"/>
                        <a:cs typeface="Arial Unicode MS" pitchFamily="2" charset="-122"/>
                        <a:sym typeface="Arial Unicode MS" pitchFamily="2" charset="-122"/>
                      </a:defRPr>
                    </a:pPr>
                    <a:r>
                      <a:rPr lang="en-US" altLang="zh-CN" sz="1000" b="1">
                        <a:solidFill>
                          <a:schemeClr val="bg1"/>
                        </a:solidFill>
                        <a:latin typeface="Arial Unicode MS" pitchFamily="2" charset="-122"/>
                        <a:ea typeface="Arial Unicode MS" pitchFamily="2" charset="-122"/>
                        <a:cs typeface="Arial Unicode MS" pitchFamily="2" charset="-122"/>
                        <a:sym typeface="Arial Unicode MS" pitchFamily="2" charset="-122"/>
                      </a:rPr>
                      <a:t>8917.7</a:t>
                    </a:r>
                    <a:r>
                      <a:rPr sz="1000" b="1">
                        <a:solidFill>
                          <a:schemeClr val="bg1"/>
                        </a:solidFill>
                        <a:latin typeface="Arial Unicode MS" pitchFamily="2" charset="-122"/>
                        <a:ea typeface="Arial Unicode MS" pitchFamily="2" charset="-122"/>
                        <a:cs typeface="Arial Unicode MS" pitchFamily="2" charset="-122"/>
                        <a:sym typeface="Arial Unicode MS" pitchFamily="2" charset="-122"/>
                      </a:rPr>
                      <a:t>万公斤</a:t>
                    </a:r>
                    <a:endParaRPr sz="1000" b="1">
                      <a:solidFill>
                        <a:schemeClr val="bg1"/>
                      </a:solidFill>
                      <a:latin typeface="Arial Unicode MS" pitchFamily="2" charset="-122"/>
                      <a:ea typeface="Arial Unicode MS" pitchFamily="2" charset="-122"/>
                      <a:cs typeface="Arial Unicode MS" pitchFamily="2" charset="-122"/>
                      <a:sym typeface="Arial Unicode MS" pitchFamily="2" charset="-122"/>
                    </a:endParaRP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bg1"/>
                        </a:solidFill>
                        <a:latin typeface="Arial Unicode MS" pitchFamily="2" charset="-122"/>
                        <a:ea typeface="Arial Unicode MS" pitchFamily="2" charset="-122"/>
                        <a:cs typeface="Arial Unicode MS" pitchFamily="2" charset="-122"/>
                        <a:sym typeface="Arial Unicode MS" pitchFamily="2" charset="-122"/>
                      </a:defRPr>
                    </a:pPr>
                    <a:r>
                      <a:rPr lang="en-US" altLang="zh-CN" sz="1000" b="1">
                        <a:solidFill>
                          <a:schemeClr val="bg1"/>
                        </a:solidFill>
                        <a:latin typeface="Arial Unicode MS" pitchFamily="2" charset="-122"/>
                        <a:ea typeface="Arial Unicode MS" pitchFamily="2" charset="-122"/>
                        <a:cs typeface="Arial Unicode MS" pitchFamily="2" charset="-122"/>
                        <a:sym typeface="Arial Unicode MS" pitchFamily="2" charset="-122"/>
                      </a:rPr>
                      <a:t>9124.6</a:t>
                    </a:r>
                    <a:r>
                      <a:rPr sz="1000" b="1">
                        <a:solidFill>
                          <a:schemeClr val="bg1"/>
                        </a:solidFill>
                        <a:latin typeface="Arial Unicode MS" pitchFamily="2" charset="-122"/>
                        <a:ea typeface="Arial Unicode MS" pitchFamily="2" charset="-122"/>
                        <a:cs typeface="Arial Unicode MS" pitchFamily="2" charset="-122"/>
                        <a:sym typeface="Arial Unicode MS" pitchFamily="2" charset="-122"/>
                      </a:rPr>
                      <a:t>万公斤</a:t>
                    </a:r>
                    <a:endParaRPr sz="1000" b="1">
                      <a:solidFill>
                        <a:schemeClr val="bg1"/>
                      </a:solidFill>
                      <a:latin typeface="Arial Unicode MS" pitchFamily="2" charset="-122"/>
                      <a:ea typeface="Arial Unicode MS" pitchFamily="2" charset="-122"/>
                      <a:cs typeface="Arial Unicode MS" pitchFamily="2" charset="-122"/>
                      <a:sym typeface="Arial Unicode MS" pitchFamily="2" charset="-122"/>
                    </a:endParaRPr>
                  </a:p>
                </c:rich>
              </c:tx>
              <c:dLblPos val="ctr"/>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bg1"/>
                        </a:solidFill>
                        <a:latin typeface="Arial Unicode MS" pitchFamily="2" charset="-122"/>
                        <a:ea typeface="Arial Unicode MS" pitchFamily="2" charset="-122"/>
                        <a:cs typeface="Arial Unicode MS" pitchFamily="2" charset="-122"/>
                        <a:sym typeface="Arial Unicode MS" pitchFamily="2" charset="-122"/>
                      </a:defRPr>
                    </a:pPr>
                    <a:r>
                      <a:rPr lang="en-US" altLang="zh-CN" sz="1000" b="1">
                        <a:solidFill>
                          <a:schemeClr val="bg1"/>
                        </a:solidFill>
                        <a:latin typeface="Arial Unicode MS" pitchFamily="2" charset="-122"/>
                        <a:ea typeface="Arial Unicode MS" pitchFamily="2" charset="-122"/>
                        <a:cs typeface="Arial Unicode MS" pitchFamily="2" charset="-122"/>
                        <a:sym typeface="Arial Unicode MS" pitchFamily="2" charset="-122"/>
                      </a:rPr>
                      <a:t>9306</a:t>
                    </a:r>
                    <a:r>
                      <a:rPr sz="1000" b="1">
                        <a:solidFill>
                          <a:schemeClr val="bg1"/>
                        </a:solidFill>
                        <a:latin typeface="Arial Unicode MS" pitchFamily="2" charset="-122"/>
                        <a:ea typeface="Arial Unicode MS" pitchFamily="2" charset="-122"/>
                        <a:cs typeface="Arial Unicode MS" pitchFamily="2" charset="-122"/>
                        <a:sym typeface="Arial Unicode MS" pitchFamily="2" charset="-122"/>
                      </a:rPr>
                      <a:t>万公斤</a:t>
                    </a:r>
                    <a:endParaRPr sz="1000" b="1">
                      <a:solidFill>
                        <a:schemeClr val="bg1"/>
                      </a:solidFill>
                      <a:latin typeface="Arial Unicode MS" pitchFamily="2" charset="-122"/>
                      <a:ea typeface="Arial Unicode MS" pitchFamily="2" charset="-122"/>
                      <a:cs typeface="Arial Unicode MS" pitchFamily="2" charset="-122"/>
                      <a:sym typeface="Arial Unicode MS" pitchFamily="2" charset="-122"/>
                    </a:endParaRPr>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0.00205282605720542"/>
                  <c:y val="0"/>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bg1"/>
                        </a:solidFill>
                        <a:latin typeface="Arial Unicode MS" pitchFamily="2" charset="-122"/>
                        <a:ea typeface="Arial Unicode MS" pitchFamily="2" charset="-122"/>
                        <a:cs typeface="Arial Unicode MS" pitchFamily="2" charset="-122"/>
                        <a:sym typeface="Arial Unicode MS" pitchFamily="2" charset="-122"/>
                      </a:defRPr>
                    </a:pPr>
                    <a:r>
                      <a:rPr lang="en-US" altLang="zh-CN" sz="1000" b="1">
                        <a:solidFill>
                          <a:schemeClr val="bg1"/>
                        </a:solidFill>
                        <a:latin typeface="Arial Unicode MS" pitchFamily="2" charset="-122"/>
                        <a:ea typeface="Arial Unicode MS" pitchFamily="2" charset="-122"/>
                        <a:cs typeface="Arial Unicode MS" pitchFamily="2" charset="-122"/>
                        <a:sym typeface="Arial Unicode MS" pitchFamily="2" charset="-122"/>
                      </a:rPr>
                      <a:t>9345</a:t>
                    </a:r>
                    <a:r>
                      <a:rPr sz="1000" b="1">
                        <a:solidFill>
                          <a:schemeClr val="bg1"/>
                        </a:solidFill>
                        <a:latin typeface="Arial Unicode MS" pitchFamily="2" charset="-122"/>
                        <a:ea typeface="Arial Unicode MS" pitchFamily="2" charset="-122"/>
                        <a:cs typeface="Arial Unicode MS" pitchFamily="2" charset="-122"/>
                        <a:sym typeface="Arial Unicode MS" pitchFamily="2" charset="-122"/>
                      </a:rPr>
                      <a:t>万公斤</a:t>
                    </a:r>
                    <a:endParaRPr sz="1000" b="1">
                      <a:solidFill>
                        <a:schemeClr val="bg1"/>
                      </a:solidFill>
                      <a:latin typeface="Arial Unicode MS" pitchFamily="2" charset="-122"/>
                      <a:ea typeface="Arial Unicode MS" pitchFamily="2" charset="-122"/>
                      <a:cs typeface="Arial Unicode MS" pitchFamily="2" charset="-122"/>
                      <a:sym typeface="Arial Unicode MS" pitchFamily="2" charset="-122"/>
                    </a:endParaRP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bg1"/>
                        </a:solidFill>
                        <a:latin typeface="Arial Unicode MS" pitchFamily="2" charset="-122"/>
                        <a:ea typeface="Arial Unicode MS" pitchFamily="2" charset="-122"/>
                        <a:cs typeface="Arial Unicode MS" pitchFamily="2" charset="-122"/>
                        <a:sym typeface="Arial Unicode MS" pitchFamily="2" charset="-122"/>
                      </a:defRPr>
                    </a:pPr>
                    <a:r>
                      <a:rPr lang="en-US" altLang="zh-CN" sz="1000" b="1">
                        <a:solidFill>
                          <a:schemeClr val="bg1"/>
                        </a:solidFill>
                        <a:latin typeface="Arial Unicode MS" pitchFamily="2" charset="-122"/>
                        <a:ea typeface="Arial Unicode MS" pitchFamily="2" charset="-122"/>
                        <a:cs typeface="Arial Unicode MS" pitchFamily="2" charset="-122"/>
                        <a:sym typeface="Arial Unicode MS" pitchFamily="2" charset="-122"/>
                      </a:rPr>
                      <a:t>9496.5</a:t>
                    </a:r>
                    <a:r>
                      <a:rPr sz="1000" b="1">
                        <a:solidFill>
                          <a:schemeClr val="bg1"/>
                        </a:solidFill>
                        <a:latin typeface="Arial Unicode MS" pitchFamily="2" charset="-122"/>
                        <a:ea typeface="Arial Unicode MS" pitchFamily="2" charset="-122"/>
                        <a:cs typeface="Arial Unicode MS" pitchFamily="2" charset="-122"/>
                        <a:sym typeface="Arial Unicode MS" pitchFamily="2" charset="-122"/>
                      </a:rPr>
                      <a:t>万公斤</a:t>
                    </a:r>
                    <a:endParaRPr sz="1000" b="1">
                      <a:solidFill>
                        <a:schemeClr val="bg1"/>
                      </a:solidFill>
                      <a:latin typeface="Arial Unicode MS" pitchFamily="2" charset="-122"/>
                      <a:ea typeface="Arial Unicode MS" pitchFamily="2" charset="-122"/>
                      <a:cs typeface="Arial Unicode MS" pitchFamily="2" charset="-122"/>
                      <a:sym typeface="Arial Unicode MS" pitchFamily="2" charset="-122"/>
                    </a:endParaRP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bg1"/>
                    </a:solidFill>
                    <a:latin typeface="Arial Unicode MS" pitchFamily="2" charset="-122"/>
                    <a:ea typeface="Arial Unicode MS" pitchFamily="2" charset="-122"/>
                    <a:cs typeface="Arial Unicode MS" pitchFamily="2" charset="-122"/>
                    <a:sym typeface="Arial Unicode MS" pitchFamily="2"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[2020年公报草稿.xlsx]图!$B$41:$B$45</c:f>
              <c:strCache>
                <c:ptCount val="5"/>
                <c:pt idx="0">
                  <c:v>2016年</c:v>
                </c:pt>
                <c:pt idx="1">
                  <c:v>2017年</c:v>
                </c:pt>
                <c:pt idx="2">
                  <c:v>2018年</c:v>
                </c:pt>
                <c:pt idx="3">
                  <c:v>2019年</c:v>
                </c:pt>
                <c:pt idx="4">
                  <c:v>2020年</c:v>
                </c:pt>
              </c:strCache>
            </c:strRef>
          </c:cat>
          <c:val>
            <c:numRef>
              <c:f>[2020年公报草稿.xlsx]图!$D$41:$D$45</c:f>
              <c:numCache>
                <c:formatCode>General</c:formatCode>
                <c:ptCount val="5"/>
                <c:pt idx="0">
                  <c:v>8917.7</c:v>
                </c:pt>
                <c:pt idx="1">
                  <c:v>9124.6</c:v>
                </c:pt>
                <c:pt idx="2">
                  <c:v>9306</c:v>
                </c:pt>
                <c:pt idx="3">
                  <c:v>9345</c:v>
                </c:pt>
                <c:pt idx="4">
                  <c:v>9496.46</c:v>
                </c:pt>
              </c:numCache>
            </c:numRef>
          </c:val>
        </c:ser>
        <c:dLbls>
          <c:showLegendKey val="0"/>
          <c:showVal val="0"/>
          <c:showCatName val="0"/>
          <c:showSerName val="0"/>
          <c:showPercent val="0"/>
          <c:showBubbleSize val="0"/>
        </c:dLbls>
        <c:gapWidth val="55"/>
        <c:overlap val="100"/>
        <c:axId val="878657492"/>
        <c:axId val="812075105"/>
      </c:barChart>
      <c:catAx>
        <c:axId val="878657492"/>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2075105"/>
        <c:crosses val="autoZero"/>
        <c:auto val="1"/>
        <c:lblAlgn val="ctr"/>
        <c:lblOffset val="100"/>
        <c:noMultiLvlLbl val="0"/>
      </c:catAx>
      <c:valAx>
        <c:axId val="812075105"/>
        <c:scaling>
          <c:orientation val="minMax"/>
        </c:scaling>
        <c:delete val="1"/>
        <c:axPos val="b"/>
        <c:numFmt formatCode="0.0_ "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86574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r>
              <a:rPr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图</a:t>
            </a:r>
            <a:r>
              <a:rPr lang="en-US" altLang="zh-CN"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4  2016-2020</a:t>
            </a:r>
            <a:r>
              <a:rPr altLang="en-US"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年规上工业增加值增长速度</a:t>
            </a:r>
            <a:endParaRPr altLang="en-US"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endParaRPr>
          </a:p>
        </c:rich>
      </c:tx>
      <c:layout/>
      <c:overlay val="0"/>
      <c:spPr>
        <a:noFill/>
        <a:ln>
          <a:noFill/>
        </a:ln>
        <a:effectLst/>
      </c:spPr>
    </c:title>
    <c:autoTitleDeleted val="0"/>
    <c:plotArea>
      <c:layout/>
      <c:lineChart>
        <c:grouping val="standard"/>
        <c:varyColors val="0"/>
        <c:ser>
          <c:idx val="0"/>
          <c:order val="0"/>
          <c:spPr>
            <a:ln w="28575" cap="rnd">
              <a:solidFill>
                <a:srgbClr val="FF6C0D"/>
              </a:solidFill>
              <a:round/>
            </a:ln>
            <a:effectLst/>
            <a:sp3d contourW="28575"/>
          </c:spPr>
          <c:marker>
            <c:symbol val="circle"/>
            <c:size val="6"/>
            <c:spPr>
              <a:solidFill>
                <a:schemeClr val="bg1"/>
              </a:solidFill>
              <a:ln w="12700" cmpd="sng">
                <a:solidFill>
                  <a:srgbClr val="FF6C0D"/>
                </a:solidFill>
                <a:prstDash val="solid"/>
              </a:ln>
              <a:effectLst/>
            </c:spPr>
          </c:marker>
          <c:dLbls>
            <c:dLbl>
              <c:idx val="4"/>
              <c:layout>
                <c:manualLayout>
                  <c:x val="0.0304878048780488"/>
                  <c:y val="0.0296052631578947"/>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[2020年公报草稿.xlsx]图!$B$55:$F$55</c:f>
              <c:strCache>
                <c:ptCount val="5"/>
                <c:pt idx="0">
                  <c:v>2016年</c:v>
                </c:pt>
                <c:pt idx="1">
                  <c:v>2017年</c:v>
                </c:pt>
                <c:pt idx="2">
                  <c:v>2018年</c:v>
                </c:pt>
                <c:pt idx="3">
                  <c:v>2019年</c:v>
                </c:pt>
                <c:pt idx="4">
                  <c:v>2020年</c:v>
                </c:pt>
              </c:strCache>
            </c:strRef>
          </c:cat>
          <c:val>
            <c:numRef>
              <c:f>[2020年公报草稿.xlsx]图!$B$56:$F$56</c:f>
              <c:numCache>
                <c:formatCode>0.0_ </c:formatCode>
                <c:ptCount val="5"/>
                <c:pt idx="0">
                  <c:v>25.2</c:v>
                </c:pt>
                <c:pt idx="1">
                  <c:v>28</c:v>
                </c:pt>
                <c:pt idx="2">
                  <c:v>23.4</c:v>
                </c:pt>
                <c:pt idx="3">
                  <c:v>18.4</c:v>
                </c:pt>
                <c:pt idx="4">
                  <c:v>-17.5</c:v>
                </c:pt>
              </c:numCache>
            </c:numRef>
          </c:val>
          <c:smooth val="0"/>
        </c:ser>
        <c:dLbls>
          <c:showLegendKey val="0"/>
          <c:showVal val="1"/>
          <c:showCatName val="0"/>
          <c:showSerName val="0"/>
          <c:showPercent val="0"/>
          <c:showBubbleSize val="0"/>
        </c:dLbls>
        <c:marker val="1"/>
        <c:smooth val="0"/>
        <c:axId val="110233919"/>
        <c:axId val="52803742"/>
      </c:lineChart>
      <c:catAx>
        <c:axId val="1102339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52803742"/>
        <c:crosses val="autoZero"/>
        <c:auto val="1"/>
        <c:lblAlgn val="ctr"/>
        <c:lblOffset val="100"/>
        <c:noMultiLvlLbl val="0"/>
      </c:catAx>
      <c:valAx>
        <c:axId val="5280374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ysClr val="windowText" lastClr="000000"/>
                    </a:solidFill>
                    <a:latin typeface="+mn-lt"/>
                    <a:ea typeface="+mn-ea"/>
                    <a:cs typeface="+mn-cs"/>
                  </a:defRPr>
                </a:pPr>
                <a:r>
                  <a:rPr lang="en-US" altLang="zh-CN"/>
                  <a:t>%</a:t>
                </a:r>
                <a:endParaRPr lang="en-US" altLang="zh-CN"/>
              </a:p>
            </c:rich>
          </c:tx>
          <c:layout>
            <c:manualLayout>
              <c:xMode val="edge"/>
              <c:yMode val="edge"/>
              <c:x val="0.0909722222222222"/>
              <c:y val="0.0608796296296296"/>
            </c:manualLayout>
          </c:layout>
          <c:overlay val="0"/>
          <c:spPr>
            <a:noFill/>
            <a:ln>
              <a:noFill/>
            </a:ln>
            <a:effectLst/>
          </c:spPr>
        </c:title>
        <c:numFmt formatCode="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102339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mn-lt"/>
                <a:ea typeface="+mn-ea"/>
                <a:cs typeface="+mn-cs"/>
              </a:defRPr>
            </a:pPr>
            <a:r>
              <a:rPr altLang="en-US" sz="1200">
                <a:solidFill>
                  <a:sysClr val="windowText" lastClr="000000"/>
                </a:solidFill>
                <a:latin typeface="黑体" panose="02010609060101010101" charset="-122"/>
                <a:ea typeface="黑体" panose="02010609060101010101" charset="-122"/>
                <a:cs typeface="黑体" panose="02010609060101010101" charset="-122"/>
              </a:rPr>
              <a:t>图</a:t>
            </a:r>
            <a:r>
              <a:rPr lang="en-US" altLang="zh-CN" sz="1200">
                <a:solidFill>
                  <a:sysClr val="windowText" lastClr="000000"/>
                </a:solidFill>
                <a:latin typeface="黑体" panose="02010609060101010101" charset="-122"/>
                <a:ea typeface="黑体" panose="02010609060101010101" charset="-122"/>
                <a:cs typeface="黑体" panose="02010609060101010101" charset="-122"/>
              </a:rPr>
              <a:t>5  2016-2020</a:t>
            </a:r>
            <a:r>
              <a:rPr altLang="en-US" sz="1200">
                <a:solidFill>
                  <a:sysClr val="windowText" lastClr="000000"/>
                </a:solidFill>
                <a:latin typeface="黑体" panose="02010609060101010101" charset="-122"/>
                <a:ea typeface="黑体" panose="02010609060101010101" charset="-122"/>
                <a:cs typeface="黑体" panose="02010609060101010101" charset="-122"/>
              </a:rPr>
              <a:t>年固定资产增长速度</a:t>
            </a:r>
            <a:endParaRPr altLang="en-US" sz="1200">
              <a:solidFill>
                <a:sysClr val="windowText" lastClr="000000"/>
              </a:solidFill>
              <a:latin typeface="黑体" panose="02010609060101010101" charset="-122"/>
              <a:ea typeface="黑体" panose="02010609060101010101" charset="-122"/>
              <a:cs typeface="黑体" panose="02010609060101010101" charset="-122"/>
            </a:endParaRPr>
          </a:p>
        </c:rich>
      </c:tx>
      <c:layout>
        <c:manualLayout>
          <c:xMode val="edge"/>
          <c:yMode val="edge"/>
          <c:x val="0.245331304468115"/>
          <c:y val="0.0260586319218241"/>
        </c:manualLayout>
      </c:layout>
      <c:overlay val="0"/>
      <c:spPr>
        <a:noFill/>
        <a:ln>
          <a:noFill/>
        </a:ln>
        <a:effectLst/>
      </c:spPr>
    </c:title>
    <c:autoTitleDeleted val="0"/>
    <c:plotArea>
      <c:layout/>
      <c:lineChart>
        <c:grouping val="standard"/>
        <c:varyColors val="0"/>
        <c:ser>
          <c:idx val="0"/>
          <c:order val="0"/>
          <c:spPr>
            <a:ln w="28575" cap="rnd">
              <a:solidFill>
                <a:srgbClr val="FF6C0D"/>
              </a:solidFill>
              <a:round/>
            </a:ln>
            <a:effectLst/>
            <a:sp3d contourW="34925"/>
          </c:spPr>
          <c:marker>
            <c:symbol val="circle"/>
            <c:size val="6"/>
            <c:spPr>
              <a:solidFill>
                <a:schemeClr val="bg1"/>
              </a:solidFill>
              <a:ln w="9525">
                <a:solidFill>
                  <a:srgbClr val="FF6C0D"/>
                </a:solidFill>
              </a:ln>
              <a:effectLst/>
            </c:spPr>
          </c:marker>
          <c:dLbls>
            <c:dLbl>
              <c:idx val="4"/>
              <c:layout>
                <c:manualLayout>
                  <c:x val="0.0499164245861577"/>
                  <c:y val="0.0659722222222222"/>
                </c:manualLayout>
              </c:layout>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图!$C$21:$G$21</c:f>
              <c:strCache>
                <c:ptCount val="5"/>
                <c:pt idx="0">
                  <c:v>2016年</c:v>
                </c:pt>
                <c:pt idx="1">
                  <c:v>2017年</c:v>
                </c:pt>
                <c:pt idx="2">
                  <c:v>2018年</c:v>
                </c:pt>
                <c:pt idx="3">
                  <c:v>2019年</c:v>
                </c:pt>
                <c:pt idx="4">
                  <c:v>2020年</c:v>
                </c:pt>
              </c:strCache>
            </c:strRef>
          </c:cat>
          <c:val>
            <c:numRef>
              <c:f>图!$C$22:$G$22</c:f>
              <c:numCache>
                <c:formatCode>0.0_ </c:formatCode>
                <c:ptCount val="5"/>
                <c:pt idx="0">
                  <c:v>50.4</c:v>
                </c:pt>
                <c:pt idx="1">
                  <c:v>32.8</c:v>
                </c:pt>
                <c:pt idx="2">
                  <c:v>31</c:v>
                </c:pt>
                <c:pt idx="3">
                  <c:v>5.79701807477391</c:v>
                </c:pt>
                <c:pt idx="4">
                  <c:v>-16.5688407915945</c:v>
                </c:pt>
              </c:numCache>
            </c:numRef>
          </c:val>
          <c:smooth val="0"/>
        </c:ser>
        <c:dLbls>
          <c:showLegendKey val="0"/>
          <c:showVal val="1"/>
          <c:showCatName val="0"/>
          <c:showSerName val="0"/>
          <c:showPercent val="0"/>
          <c:showBubbleSize val="0"/>
        </c:dLbls>
        <c:marker val="1"/>
        <c:smooth val="0"/>
        <c:axId val="450833585"/>
        <c:axId val="141850957"/>
      </c:lineChart>
      <c:catAx>
        <c:axId val="4508335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41850957"/>
        <c:crosses val="autoZero"/>
        <c:auto val="1"/>
        <c:lblAlgn val="ctr"/>
        <c:lblOffset val="100"/>
        <c:noMultiLvlLbl val="0"/>
      </c:catAx>
      <c:valAx>
        <c:axId val="14185095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ysClr val="windowText" lastClr="000000"/>
                    </a:solidFill>
                    <a:latin typeface="+mn-lt"/>
                    <a:ea typeface="+mn-ea"/>
                    <a:cs typeface="+mn-cs"/>
                  </a:defRPr>
                </a:pPr>
                <a:r>
                  <a:rPr lang="en-US" altLang="zh-CN">
                    <a:solidFill>
                      <a:sysClr val="windowText" lastClr="000000"/>
                    </a:solidFill>
                  </a:rPr>
                  <a:t>%</a:t>
                </a:r>
                <a:endParaRPr lang="en-US" altLang="zh-CN">
                  <a:solidFill>
                    <a:sysClr val="windowText" lastClr="000000"/>
                  </a:solidFill>
                </a:endParaRPr>
              </a:p>
            </c:rich>
          </c:tx>
          <c:layout>
            <c:manualLayout>
              <c:xMode val="edge"/>
              <c:yMode val="edge"/>
              <c:x val="0.0865248226950355"/>
              <c:y val="0.0777777777777778"/>
            </c:manualLayout>
          </c:layout>
          <c:overlay val="0"/>
          <c:spPr>
            <a:noFill/>
            <a:ln>
              <a:noFill/>
            </a:ln>
            <a:effectLst/>
          </c:spPr>
        </c:title>
        <c:numFmt formatCode="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45083358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spc="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r>
              <a:rPr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图</a:t>
            </a:r>
            <a:r>
              <a:rPr lang="en-US" altLang="zh-CN"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6  </a:t>
            </a:r>
            <a:r>
              <a:rPr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20</a:t>
            </a:r>
            <a:r>
              <a:rPr lang="en-US" altLang="zh-CN"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20</a:t>
            </a:r>
            <a:r>
              <a:rPr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年城镇居民人均消费</a:t>
            </a:r>
            <a:endParaRPr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endParaRPr>
          </a:p>
          <a:p>
            <a:pPr defTabSz="914400">
              <a:defRPr lang="zh-CN" sz="1000" b="0" i="0" u="none" strike="noStrike" kern="1200" spc="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r>
              <a:rPr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支出及构成</a:t>
            </a:r>
            <a:endParaRPr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149226803667706"/>
          <c:y val="0.0222487728453502"/>
        </c:manualLayout>
      </c:layout>
      <c:overlay val="0"/>
      <c:spPr>
        <a:noFill/>
        <a:ln>
          <a:noFill/>
        </a:ln>
        <a:effectLst/>
      </c:spPr>
    </c:title>
    <c:autoTitleDeleted val="0"/>
    <c:plotArea>
      <c:layout>
        <c:manualLayout>
          <c:layoutTarget val="inner"/>
          <c:xMode val="edge"/>
          <c:yMode val="edge"/>
          <c:x val="0.314722464584445"/>
          <c:y val="0.296296582826272"/>
          <c:w val="0.424252834077637"/>
          <c:h val="0.650684931506849"/>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0"/>
              <c:layout>
                <c:manualLayout>
                  <c:x val="0.170691256141894"/>
                  <c:y val="0.0102574378889749"/>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医疗保健, </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1</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913</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元,</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8</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63506063947078"/>
                      <c:h val="0.150667674477198"/>
                    </c:manualLayout>
                  </c15:layout>
                </c:ext>
              </c:extLst>
            </c:dLbl>
            <c:dLbl>
              <c:idx val="1"/>
              <c:layout>
                <c:manualLayout>
                  <c:x val="0.0725838772472232"/>
                  <c:y val="0.0901468747137246"/>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教育文化娱乐, </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4390</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元, </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18.4</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57111356119074"/>
                      <c:h val="0.186500470366886"/>
                    </c:manualLayout>
                  </c15:layout>
                </c:ext>
              </c:extLst>
            </c:dLbl>
            <c:dLbl>
              <c:idx val="2"/>
              <c:layout>
                <c:manualLayout>
                  <c:x val="-0.0137563847005696"/>
                  <c:y val="-0.0775549865076265"/>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食品烟酒, </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6153</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元, </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25.9</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310694597574421"/>
                      <c:h val="0.194261523988711"/>
                    </c:manualLayout>
                  </c15:layout>
                </c:ext>
              </c:extLst>
            </c:dLbl>
            <c:dLbl>
              <c:idx val="3"/>
              <c:layout>
                <c:manualLayout>
                  <c:x val="-0.106963433165274"/>
                  <c:y val="-0.0479358674251697"/>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交通通信, </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3381</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元, </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14.2</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70782800441014"/>
                      <c:h val="0.148904006046863"/>
                    </c:manualLayout>
                  </c15:layout>
                </c:ext>
              </c:extLst>
            </c:dLbl>
            <c:dLbl>
              <c:idx val="4"/>
              <c:layout>
                <c:manualLayout>
                  <c:x val="-0.0351812139646361"/>
                  <c:y val="0.00535027432332164"/>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生活用品及服务, </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1982</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元, 8</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.3</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80705622932745"/>
                      <c:h val="0.151928504233302"/>
                    </c:manualLayout>
                  </c15:layout>
                </c:ext>
              </c:extLst>
            </c:dLbl>
            <c:dLbl>
              <c:idx val="5"/>
              <c:layout>
                <c:manualLayout>
                  <c:x val="-0.0805956407529443"/>
                  <c:y val="-0.00282034423026242"/>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衣着, </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1</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881</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元, </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7.9</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55567805953693"/>
                      <c:h val="0.140085663895188"/>
                    </c:manualLayout>
                  </c15:layout>
                </c:ext>
              </c:extLst>
            </c:dLbl>
            <c:dLbl>
              <c:idx val="6"/>
              <c:layout>
                <c:manualLayout>
                  <c:x val="-0.119552203432726"/>
                  <c:y val="0.00020766969628737"/>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居住, </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3461</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元, </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14.6</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31289966923925"/>
                      <c:h val="0.133744855967078"/>
                    </c:manualLayout>
                  </c15:layout>
                </c:ext>
              </c:extLst>
            </c:dLbl>
            <c:dLbl>
              <c:idx val="7"/>
              <c:layout>
                <c:manualLayout>
                  <c:x val="-0.0128754810218062"/>
                  <c:y val="-0.044001372239488"/>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其他用品及服务, </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641</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元, </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2.7</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307828004410143"/>
                      <c:h val="0.156210632401109"/>
                    </c:manualLayout>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[2020年公报草稿.xlsx]图!$A$97:$A$104</c:f>
              <c:strCache>
                <c:ptCount val="8"/>
                <c:pt idx="0">
                  <c:v>医疗保健</c:v>
                </c:pt>
                <c:pt idx="1">
                  <c:v>教育文化娱乐</c:v>
                </c:pt>
                <c:pt idx="2">
                  <c:v>食品烟酒</c:v>
                </c:pt>
                <c:pt idx="3">
                  <c:v>交通通信</c:v>
                </c:pt>
                <c:pt idx="4">
                  <c:v>生活用品及服务</c:v>
                </c:pt>
                <c:pt idx="5">
                  <c:v>衣着</c:v>
                </c:pt>
                <c:pt idx="6">
                  <c:v>居住</c:v>
                </c:pt>
                <c:pt idx="7">
                  <c:v>其他用品及服务</c:v>
                </c:pt>
              </c:strCache>
            </c:strRef>
          </c:cat>
          <c:val>
            <c:numRef>
              <c:f>[2020年公报草稿.xlsx]图!$B$97:$B$104</c:f>
              <c:numCache>
                <c:formatCode>General</c:formatCode>
                <c:ptCount val="8"/>
                <c:pt idx="0">
                  <c:v>1913</c:v>
                </c:pt>
                <c:pt idx="1">
                  <c:v>4390</c:v>
                </c:pt>
                <c:pt idx="2">
                  <c:v>6153</c:v>
                </c:pt>
                <c:pt idx="3">
                  <c:v>3381</c:v>
                </c:pt>
                <c:pt idx="4">
                  <c:v>1982</c:v>
                </c:pt>
                <c:pt idx="5">
                  <c:v>1881</c:v>
                </c:pt>
                <c:pt idx="6">
                  <c:v>3461</c:v>
                </c:pt>
                <c:pt idx="7">
                  <c:v>641</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elete val="1"/>
          </c:dLbls>
          <c:cat>
            <c:strRef>
              <c:f>[2020年公报草稿.xlsx]图!$A$97:$A$104</c:f>
              <c:strCache>
                <c:ptCount val="8"/>
                <c:pt idx="0">
                  <c:v>医疗保健</c:v>
                </c:pt>
                <c:pt idx="1">
                  <c:v>教育文化娱乐</c:v>
                </c:pt>
                <c:pt idx="2">
                  <c:v>食品烟酒</c:v>
                </c:pt>
                <c:pt idx="3">
                  <c:v>交通通信</c:v>
                </c:pt>
                <c:pt idx="4">
                  <c:v>生活用品及服务</c:v>
                </c:pt>
                <c:pt idx="5">
                  <c:v>衣着</c:v>
                </c:pt>
                <c:pt idx="6">
                  <c:v>居住</c:v>
                </c:pt>
                <c:pt idx="7">
                  <c:v>其他用品及服务</c:v>
                </c:pt>
              </c:strCache>
            </c:strRef>
          </c:cat>
          <c:val>
            <c:numRef>
              <c:f>[2020年公报草稿.xlsx]图!$C$97:$C$104</c:f>
              <c:numCache>
                <c:formatCode>General</c:formatCode>
                <c:ptCount val="8"/>
                <c:pt idx="0">
                  <c:v>8</c:v>
                </c:pt>
                <c:pt idx="1">
                  <c:v>18.4</c:v>
                </c:pt>
                <c:pt idx="2">
                  <c:v>25.9</c:v>
                </c:pt>
                <c:pt idx="3">
                  <c:v>14.2</c:v>
                </c:pt>
                <c:pt idx="4">
                  <c:v>8.3</c:v>
                </c:pt>
                <c:pt idx="5">
                  <c:v>7.9</c:v>
                </c:pt>
                <c:pt idx="6">
                  <c:v>14.6</c:v>
                </c:pt>
                <c:pt idx="7">
                  <c:v>2.7</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r>
              <a:rPr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图</a:t>
            </a:r>
            <a:r>
              <a:rPr lang="en-US" altLang="zh-CN"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7  2020年农村居民人均消费</a:t>
            </a:r>
            <a:endParaRPr lang="en-US" altLang="zh-CN"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endParaRPr>
          </a:p>
          <a:p>
            <a:pPr defTabSz="914400">
              <a:defRPr lang="zh-CN" sz="1200" b="0" i="0" u="none" strike="noStrike" kern="1200" spc="0" baseline="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defRPr>
            </a:pPr>
            <a:r>
              <a:rPr lang="en-US" altLang="zh-CN"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rPr>
              <a:t>支出及构成</a:t>
            </a:r>
            <a:endParaRPr lang="en-US" altLang="zh-CN" sz="1200">
              <a:solidFill>
                <a:sysClr val="windowText" lastClr="000000"/>
              </a:solidFill>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119546588869423"/>
          <c:y val="0.0246351575566456"/>
        </c:manualLayout>
      </c:layout>
      <c:overlay val="0"/>
      <c:spPr>
        <a:noFill/>
        <a:ln>
          <a:noFill/>
        </a:ln>
        <a:effectLst/>
      </c:spPr>
    </c:title>
    <c:autoTitleDeleted val="0"/>
    <c:plotArea>
      <c:layout>
        <c:manualLayout>
          <c:layoutTarget val="inner"/>
          <c:xMode val="edge"/>
          <c:yMode val="edge"/>
          <c:x val="0.338983050847458"/>
          <c:y val="0.320597492154487"/>
          <c:w val="0.418701522550991"/>
          <c:h val="0.61136744966443"/>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Lbl>
              <c:idx val="1"/>
              <c:layout>
                <c:manualLayout>
                  <c:x val="0.222852671445483"/>
                  <c:y val="-0.0273933941001336"/>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医疗保健, </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5</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16</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元,</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3.2</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49614112458655"/>
                      <c:h val="0.140169332079022"/>
                    </c:manualLayout>
                  </c15:layout>
                </c:ext>
              </c:extLst>
            </c:dLbl>
            <c:dLbl>
              <c:idx val="2"/>
              <c:layout>
                <c:manualLayout>
                  <c:x val="0.0215446993638413"/>
                  <c:y val="0.0870736700136311"/>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教育文化娱乐, 2</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280</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元, </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14</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5380374862183"/>
                      <c:h val="0.163922859830668"/>
                    </c:manualLayout>
                  </c15:layout>
                </c:ext>
              </c:extLst>
            </c:dLbl>
            <c:dLbl>
              <c:idx val="3"/>
              <c:layout>
                <c:manualLayout>
                  <c:x val="0.0644154677344854"/>
                  <c:y val="-0.0423268406073147"/>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食品烟酒,</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 </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4759</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元, </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29.1</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89525909592062"/>
                      <c:h val="0.15310442144873"/>
                    </c:manualLayout>
                  </c15:layout>
                </c:ext>
              </c:extLst>
            </c:dLbl>
            <c:dLbl>
              <c:idx val="4"/>
              <c:layout>
                <c:manualLayout>
                  <c:x val="0.0400976613370572"/>
                  <c:y val="-0.0409772890989219"/>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交通通信, </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5490</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元, </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33.6</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310915104740904"/>
                      <c:h val="0.145628621819098"/>
                    </c:manualLayout>
                  </c15:layout>
                </c:ext>
              </c:extLst>
            </c:dLbl>
            <c:dLbl>
              <c:idx val="5"/>
              <c:layout>
                <c:manualLayout>
                  <c:x val="-0.0488745672549497"/>
                  <c:y val="0.0633329413609282"/>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生活用品及服务, </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560</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元, </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3.4</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77398015435502"/>
                      <c:h val="0.138070042831948"/>
                    </c:manualLayout>
                  </c15:layout>
                </c:ext>
              </c:extLst>
            </c:dLbl>
            <c:dLbl>
              <c:idx val="6"/>
              <c:layout>
                <c:manualLayout>
                  <c:x val="-0.103029676589489"/>
                  <c:y val="-0.0120924820225989"/>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衣着, </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456</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元,</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2.8</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42998897464168"/>
                      <c:h val="0.117157974300831"/>
                    </c:manualLayout>
                  </c15:layout>
                </c:ext>
              </c:extLst>
            </c:dLbl>
            <c:dLbl>
              <c:idx val="7"/>
              <c:layout>
                <c:manualLayout>
                  <c:x val="-0.175689084895259"/>
                  <c:y val="-0.0488203852670994"/>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居住, </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2137</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元,</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13</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66813671444322"/>
                      <c:h val="0.135046611237087"/>
                    </c:manualLayout>
                  </c15:layout>
                </c:ext>
              </c:extLst>
            </c:dLbl>
            <c:dLbl>
              <c:idx val="8"/>
              <c:layout>
                <c:manualLayout>
                  <c:x val="-0.0155130608212736"/>
                  <c:y val="-0.0339443949529248"/>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其他用品及服务, </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144</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元, </a:t>
                    </a:r>
                    <a:r>
                      <a:rPr lang="en-US" altLang="zh-CN"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0.9</a:t>
                    </a:r>
                    <a:r>
                      <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rPr>
                      <a:t>%</a:t>
                    </a:r>
                    <a:endParaRPr sz="800">
                      <a:solidFill>
                        <a:sysClr val="windowText" lastClr="000000"/>
                      </a:solidFill>
                      <a:latin typeface="Arial Unicode MS" pitchFamily="2" charset="-122"/>
                      <a:ea typeface="Arial Unicode MS" pitchFamily="2" charset="-122"/>
                      <a:cs typeface="Arial Unicode MS" pitchFamily="2" charset="-122"/>
                      <a:sym typeface="Arial Unicode MS" pitchFamily="2"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93495038588754"/>
                      <c:h val="0.139833711262283"/>
                    </c:manualLayout>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Arial Unicode MS" pitchFamily="2" charset="-122"/>
                    <a:ea typeface="Arial Unicode MS" pitchFamily="2" charset="-122"/>
                    <a:cs typeface="Arial Unicode MS" pitchFamily="2" charset="-122"/>
                    <a:sym typeface="Arial Unicode MS" pitchFamily="2"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[2020年公报草稿.xlsx]图!$A$108:$A$116</c:f>
              <c:strCache>
                <c:ptCount val="9"/>
                <c:pt idx="0">
                  <c:v>2020年农村居民人均消费支出及构成</c:v>
                </c:pt>
                <c:pt idx="1">
                  <c:v>医疗保健</c:v>
                </c:pt>
                <c:pt idx="2">
                  <c:v>教育文化娱乐</c:v>
                </c:pt>
                <c:pt idx="3">
                  <c:v>食品烟酒</c:v>
                </c:pt>
                <c:pt idx="4">
                  <c:v>交通通信</c:v>
                </c:pt>
                <c:pt idx="5">
                  <c:v>生活用品及服务</c:v>
                </c:pt>
                <c:pt idx="6">
                  <c:v>衣着</c:v>
                </c:pt>
                <c:pt idx="7">
                  <c:v>居住</c:v>
                </c:pt>
                <c:pt idx="8">
                  <c:v>其他用品及服务</c:v>
                </c:pt>
              </c:strCache>
            </c:strRef>
          </c:cat>
          <c:val>
            <c:numRef>
              <c:f>[2020年公报草稿.xlsx]图!$B$108:$B$116</c:f>
              <c:numCache>
                <c:formatCode>General</c:formatCode>
                <c:ptCount val="9"/>
                <c:pt idx="1">
                  <c:v>516</c:v>
                </c:pt>
                <c:pt idx="2">
                  <c:v>2280</c:v>
                </c:pt>
                <c:pt idx="3">
                  <c:v>4759</c:v>
                </c:pt>
                <c:pt idx="4">
                  <c:v>5490</c:v>
                </c:pt>
                <c:pt idx="5">
                  <c:v>560</c:v>
                </c:pt>
                <c:pt idx="6">
                  <c:v>456</c:v>
                </c:pt>
                <c:pt idx="7">
                  <c:v>2137</c:v>
                </c:pt>
                <c:pt idx="8">
                  <c:v>144</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elete val="1"/>
          </c:dLbls>
          <c:cat>
            <c:strRef>
              <c:f>[2020年公报草稿.xlsx]图!$A$108:$A$116</c:f>
              <c:strCache>
                <c:ptCount val="9"/>
                <c:pt idx="0">
                  <c:v>2020年农村居民人均消费支出及构成</c:v>
                </c:pt>
                <c:pt idx="1">
                  <c:v>医疗保健</c:v>
                </c:pt>
                <c:pt idx="2">
                  <c:v>教育文化娱乐</c:v>
                </c:pt>
                <c:pt idx="3">
                  <c:v>食品烟酒</c:v>
                </c:pt>
                <c:pt idx="4">
                  <c:v>交通通信</c:v>
                </c:pt>
                <c:pt idx="5">
                  <c:v>生活用品及服务</c:v>
                </c:pt>
                <c:pt idx="6">
                  <c:v>衣着</c:v>
                </c:pt>
                <c:pt idx="7">
                  <c:v>居住</c:v>
                </c:pt>
                <c:pt idx="8">
                  <c:v>其他用品及服务</c:v>
                </c:pt>
              </c:strCache>
            </c:strRef>
          </c:cat>
          <c:val>
            <c:numRef>
              <c:f>[2020年公报草稿.xlsx]图!$C$108:$C$116</c:f>
              <c:numCache>
                <c:formatCode>General</c:formatCode>
                <c:ptCount val="9"/>
                <c:pt idx="1" c:formatCode="0.0_ ">
                  <c:v>3.2</c:v>
                </c:pt>
                <c:pt idx="2" c:formatCode="0.0_ ">
                  <c:v>14</c:v>
                </c:pt>
                <c:pt idx="3" c:formatCode="0.0_ ">
                  <c:v>29.1</c:v>
                </c:pt>
                <c:pt idx="4" c:formatCode="0.0_ ">
                  <c:v>33.6</c:v>
                </c:pt>
                <c:pt idx="5" c:formatCode="0.0_ ">
                  <c:v>3.4</c:v>
                </c:pt>
                <c:pt idx="6" c:formatCode="0.0_ ">
                  <c:v>2.8</c:v>
                </c:pt>
                <c:pt idx="7" c:formatCode="0.0_ ">
                  <c:v>13</c:v>
                </c:pt>
                <c:pt idx="8" c:formatCode="0.0_ ">
                  <c:v>0.9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玉溪市元江县党政机关单位</Company>
  <Pages>22</Pages>
  <Words>2101</Words>
  <Characters>11977</Characters>
  <Lines>99</Lines>
  <Paragraphs>28</Paragraphs>
  <TotalTime>101</TotalTime>
  <ScaleCrop>false</ScaleCrop>
  <LinksUpToDate>false</LinksUpToDate>
  <CharactersWithSpaces>14050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2020-02-20T01:03:00Z</dcterms:created>
  <dc:creator>陈娟</dc:creator>
  <cp:lastModifiedBy>哆来咪发唆1420454224</cp:lastModifiedBy>
  <cp:lastPrinted>2018-03-30T00:42:00Z</cp:lastPrinted>
  <dcterms:modified xsi:type="dcterms:W3CDTF">2021-03-23T07:35:43Z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