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元江县水利局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（一）概述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水利局坚持以习近平新时代中国特色社会主义思想为指导，深入贯彻落实国家、省、市关于全面推进政务公开工作的有关要求，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强化组织领导，健全组织体系，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坚持统筹兼顾、突出重点，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完善政务公开制度，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严格按照政务公开各项指标认真开展各项工作，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不断提升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政务公开工作质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量和成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效。全年主动公开政府信息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条，其中：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工作动态类信息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114条（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部门预决算公开信息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，各工程管理局信息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，各下属单位信息9条，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行政执法信息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8条，部门概况信息11条，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通知公告信息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政策法规类信息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16条，水利局文件公开3条，其他信息6条。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（二）工作举措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一是全面加强组织领导，压实工作责任。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县水利局全面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加强对政务公开工作的组织领导，不断完善工作机制，加大主动公开力度，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强化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重大政策深度解读，着力推进政务公开制度化规范化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。同时，确定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名分管领导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分管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政务公开工作，列入工作分工并对外公布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，发布信息过程中严格执行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先审查、后发布的审核程序。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3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highlight w:val="none"/>
          <w:lang w:val="en-US" w:eastAsia="zh-CN"/>
        </w:rPr>
        <w:t>二是拓展公开渠道，丰富公开内容。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以元江县政府门户网站为信息公开主要渠道，同时积极拓展新媒体政务公开平台，配合线下电子屏、公告栏等载体，及时公开或更新水利信息、水利政策、政策解读、水行政执法、防汛抗旱信息等需要公开的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3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highlight w:val="none"/>
          <w:lang w:val="en-US" w:eastAsia="zh-CN"/>
        </w:rPr>
        <w:t>三是规范信息公开流程，不断推进政务公开标准化、规范化建设。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县水利局按照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中央、省市县各级政府公开办政府信息公开基本目录和技术标准，全面优化本单位信息公开网栏目设置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；按照新修订《中华人民共和国政府信息公开条例》以及本部门职能调整情况，更新政府信息公开指南和依申请公开指南，落实政府信息依申请公开工作；严格制定具备名称、内容、依据、时限、主体、方式、渠道、公开对象等要素的《水利领域基层政务公开标准目录》；进一步加强对政府网站和政务新媒体平台的管理工作，加强发布信息复检复核工作，积极开展政务公开网络平台风险排查，确保做到运行管理规范、公开网页安全、信息发布及时、内容正确合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14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-1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+1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13500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14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42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42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14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firstLine="420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年我局政府信息公开工作取得了较大的成绩，但也存在一些问题，主要表现在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一是信息更新不到位不及时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二是信息公开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内容不全面；三是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信息公开形式比较单一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公开内容和形式有待优化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下一步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我们将紧紧围绕县委、县政府中心工作，深入贯彻实施《中华人民共和国政府信息公开条例》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提高思想认识，加强组织领导，深化政府信息公开要求，进一步加大主动公开力度，切实抓好政府信息公开工作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一是完善工作机制，落实工作责任，积极构建上下协同、共同推进的工作格局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，确保信息公开的时效性、准确性；二是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逐步扩大公开内容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对原有的信息公开目录进行补充完善，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秉持“应公开、尽公开”原则，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保证公开信息的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全面性、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完整性和准确性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；三是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创新公开形式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优化新媒体运用与管理，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改变单一的文字公开模式，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积极运用生动活泼、通俗易懂的语言以及图表图解，加强政策解读与宣传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20年交由县水利局承办的县级人大代表建议、政协提案共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6件，其中，县人大建议21件，建议提出的内容涉及人饮巩固提升工程建设、蓄水工程建设、解决灌溉用水困难、防洪等重点民生领域；县政协委员提案5件，提案内容包括饮水工程、蓄水灌溉工程及水源保护等重点民生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以上建议、提案全部在规定时间内办结，并将办理结果全部予以公开：县人大建议21件，A类8件，占建议的38.1%，6月底时为3件，B类13件，占建议的61.9%，现全部办理完成，满意率100%，办结率100%；县政协委员提案5件，A类4件占提案80%，6月底时为2件；B类1件，占提案的20%，现已全部办理完成，满意率100%，办结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highlight w:val="yellow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15335"/>
    <w:rsid w:val="0EF92217"/>
    <w:rsid w:val="16B43F16"/>
    <w:rsid w:val="1D091029"/>
    <w:rsid w:val="35226CBC"/>
    <w:rsid w:val="384575E6"/>
    <w:rsid w:val="42877CEF"/>
    <w:rsid w:val="42F52546"/>
    <w:rsid w:val="442F4738"/>
    <w:rsid w:val="47D15335"/>
    <w:rsid w:val="55894B71"/>
    <w:rsid w:val="5BC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</w:rPr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character" w:customStyle="1" w:styleId="15">
    <w:name w:val="first-child"/>
    <w:basedOn w:val="3"/>
    <w:qFormat/>
    <w:uiPriority w:val="0"/>
  </w:style>
  <w:style w:type="character" w:customStyle="1" w:styleId="16">
    <w:name w:val="layui-layer-tabnow"/>
    <w:basedOn w:val="3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2021-01-20T01:57:00Z</dcterms:created>
  <dc:creator>水利局胡晓</dc:creator>
  <cp:lastModifiedBy>水利局胡晓</cp:lastModifiedBy>
  <dcterms:modified xsi:type="dcterms:W3CDTF">2021-01-27T00:44:35Z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