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spacing w:after="0" w:line="580" w:lineRule="exact"/>
        <w:rPr>
          <w:rFonts w:ascii="方正黑体_GBK" w:hAnsi="Times New Roman" w:eastAsia="方正黑体_GBK"/>
          <w:spacing w:val="0"/>
          <w:kern w:val="2"/>
          <w:sz w:val="28"/>
          <w:szCs w:val="28"/>
          <w:lang w:val="en-US"/>
        </w:rPr>
      </w:pPr>
      <w:bookmarkStart w:id="0" w:name="_GoBack"/>
      <w:r>
        <w:rPr>
          <w:rFonts w:hint="eastAsia" w:ascii="方正黑体_GBK" w:hAnsi="Times New Roman" w:eastAsia="方正黑体_GBK"/>
          <w:spacing w:val="0"/>
          <w:kern w:val="2"/>
          <w:sz w:val="28"/>
          <w:szCs w:val="28"/>
          <w:lang w:val="en-US"/>
        </w:rPr>
        <w:t>附件</w:t>
      </w:r>
    </w:p>
    <w:p>
      <w:pPr>
        <w:pStyle w:val="6"/>
        <w:shd w:val="clear" w:color="auto" w:fill="auto"/>
        <w:spacing w:after="0" w:line="580" w:lineRule="exact"/>
        <w:ind w:left="23"/>
        <w:jc w:val="center"/>
        <w:rPr>
          <w:rFonts w:ascii="方正小标宋_GBK" w:hAnsi="Times New Roman" w:eastAsia="方正小标宋_GBK"/>
          <w:spacing w:val="0"/>
          <w:kern w:val="2"/>
          <w:sz w:val="32"/>
          <w:szCs w:val="32"/>
          <w:lang w:val="en-US"/>
        </w:rPr>
      </w:pPr>
      <w:r>
        <w:rPr>
          <w:rFonts w:hint="eastAsia" w:ascii="方正小标宋_GBK" w:hAnsi="Times New Roman" w:eastAsia="方正小标宋_GBK"/>
          <w:spacing w:val="0"/>
          <w:kern w:val="2"/>
          <w:sz w:val="32"/>
          <w:szCs w:val="32"/>
          <w:lang w:val="en-US"/>
        </w:rPr>
        <w:t>元江县2019-2020年完成“三农”工作攻坚任务责任清单</w:t>
      </w:r>
    </w:p>
    <w:bookmarkEnd w:id="0"/>
    <w:p>
      <w:pPr>
        <w:pStyle w:val="6"/>
        <w:shd w:val="clear" w:color="auto" w:fill="auto"/>
        <w:spacing w:after="0" w:line="580" w:lineRule="exact"/>
        <w:ind w:left="23"/>
        <w:jc w:val="center"/>
        <w:rPr>
          <w:rFonts w:ascii="方正小标宋_GBK" w:hAnsi="Times New Roman" w:eastAsia="方正小标宋_GBK"/>
          <w:spacing w:val="0"/>
          <w:kern w:val="2"/>
          <w:sz w:val="32"/>
          <w:szCs w:val="32"/>
          <w:lang w:val="en-US"/>
        </w:rPr>
      </w:pPr>
    </w:p>
    <w:tbl>
      <w:tblPr>
        <w:tblStyle w:val="3"/>
        <w:tblW w:w="9302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5252"/>
        <w:gridCol w:w="3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268" w:type="dxa"/>
            <w:gridSpan w:val="2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center"/>
              <w:rPr>
                <w:rFonts w:ascii="方正楷体_GBK" w:hAnsi="Times New Roman" w:eastAsia="方正楷体_GBK"/>
                <w:spacing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/>
                <w:spacing w:val="0"/>
                <w:sz w:val="28"/>
                <w:szCs w:val="28"/>
              </w:rPr>
              <w:t>工作任务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center"/>
              <w:rPr>
                <w:rFonts w:ascii="方正楷体_GBK" w:hAnsi="Times New Roman" w:eastAsia="方正楷体_GBK"/>
                <w:spacing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/>
                <w:spacing w:val="0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restart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b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方正楷体_GBK" w:hAnsi="Times New Roman" w:eastAsia="方正楷体_GBK"/>
                <w:b w:val="0"/>
                <w:spacing w:val="0"/>
                <w:sz w:val="24"/>
                <w:szCs w:val="24"/>
                <w:shd w:val="clear" w:color="auto" w:fill="FFFFFF"/>
              </w:rPr>
              <w:t>坚持巩提升，持续打好脱贫攻坚战</w:t>
            </w: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确保2019年未脱贫的102户399人农村贫困人口全部脱贫。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县扶贫办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2020年有劳动能力的建档立卡贫困户有1个以上产业增收项目，有培训意愿的建档立卡贫困户掌握1门以上就业创业技能。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县人力资源</w:t>
            </w:r>
            <w:r>
              <w:rPr>
                <w:rFonts w:hint="eastAsia" w:ascii="Times New Roman" w:hAnsi="Times New Roman" w:eastAsia="方正仿宋_GBK"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2019年9月完成搬迁点拆除复垦复绿。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县发展</w:t>
            </w:r>
            <w:r>
              <w:rPr>
                <w:rFonts w:hint="eastAsia" w:ascii="Times New Roman" w:hAnsi="Times New Roman" w:eastAsia="方正仿宋_GBK"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改革局、县自然资源局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2019年全面完成4类重点对象动态调整后危房户改造，实现贫困对象危房应改尽改。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restart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spacing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pacing w:val="0"/>
                <w:sz w:val="24"/>
                <w:szCs w:val="24"/>
              </w:rPr>
              <w:t>做优做强特色产业，拓宽农民增收渠道</w:t>
            </w: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2019年发展特色水果40万亩以上，其中芒果15万亩以上，烤烟、甘蔗均在6万亩以上，芦荟、花卉、中药材均在1万亩以上，每个乡镇至少培育1个有较强带动能力的专业合作社。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县烟草产业服务中心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各乡镇（街道）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2020年全县农林牧业总产值达到38亿元以上，把水果产业打造成产值超18亿元的产业。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县农业农村局、县统计局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2019年新增 “三品一标”产品认证6个以上，认证面积达1.5万亩以上。2020年，力争全县“三品一标”农产品认证30个以上，认证面积达3万亩，认证产品产值达2.5亿元。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县市场</w:t>
            </w:r>
            <w:r>
              <w:rPr>
                <w:rFonts w:hint="eastAsia" w:ascii="Times New Roman" w:hAnsi="Times New Roman" w:eastAsia="方正仿宋_GBK"/>
                <w:spacing w:val="0"/>
                <w:sz w:val="24"/>
                <w:szCs w:val="24"/>
              </w:rPr>
              <w:t>监督管理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2020年发展市级以上龙头企业15户左右，培育“小巨人”农业龙头企业1户，发展农民专业合作社200个以上，家庭农场120个以上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县市场</w:t>
            </w:r>
            <w:r>
              <w:rPr>
                <w:rFonts w:hint="eastAsia" w:ascii="Times New Roman" w:hAnsi="Times New Roman" w:eastAsia="方正仿宋_GBK"/>
                <w:spacing w:val="0"/>
                <w:sz w:val="24"/>
                <w:szCs w:val="24"/>
              </w:rPr>
              <w:t>监督管理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县供销合作社</w:t>
            </w:r>
            <w:r>
              <w:rPr>
                <w:rFonts w:hint="eastAsia" w:ascii="Times New Roman" w:hAnsi="Times New Roman" w:eastAsia="方正仿宋_GBK"/>
                <w:spacing w:val="0"/>
                <w:sz w:val="24"/>
                <w:szCs w:val="24"/>
              </w:rPr>
              <w:t>联合社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2019年实现农产品加工产值16.7亿元，增长10%。2020年力争全县农产品加工业产值达18亿元。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县工业商贸和科技信息局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pacing w:val="0"/>
                <w:kern w:val="10"/>
                <w:sz w:val="24"/>
                <w:szCs w:val="24"/>
              </w:rPr>
              <w:t>继续推进果香四季、坡垤谷、山云华界、羊街伙头田等项目建设，重点打造以尼果、塔朗、安定等民族特色村寨为重点的乡村旅游目的地。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2019年重点</w:t>
            </w:r>
            <w:r>
              <w:rPr>
                <w:rFonts w:ascii="Times New Roman" w:hAnsi="Times New Roman" w:eastAsia="方正仿宋_GBK"/>
                <w:snapToGrid w:val="0"/>
                <w:spacing w:val="0"/>
                <w:kern w:val="10"/>
                <w:sz w:val="24"/>
                <w:szCs w:val="24"/>
              </w:rPr>
              <w:t>打造以尼果、塔朗、安定等民族特色村寨为重点的乡村旅游目的地。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力争到 2020年益农信息社行政村覆盖率达到80%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各类农村转移就业劳动者接受不少于1次培训， 2019年完成农村劳动力转移3200人，2020年完成3300人。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县人力资源</w:t>
            </w:r>
            <w:r>
              <w:rPr>
                <w:rFonts w:hint="eastAsia" w:ascii="Times New Roman" w:hAnsi="Times New Roman" w:eastAsia="方正仿宋_GBK"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每年培育新型职业农民100人以上。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确保农村居民可支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  <w:shd w:val="clear" w:color="auto" w:fill="FFFFFF"/>
              </w:rPr>
              <w:t>配收入增幅达 9%以上。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restart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spacing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pacing w:val="0"/>
                <w:sz w:val="24"/>
                <w:szCs w:val="24"/>
              </w:rPr>
              <w:t>夯实农业发展基础，推进农业提质增效</w:t>
            </w: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确保元江县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耕地保有量不低于55.9万亩，永久基本农田保护面积不低于49万亩。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粮食种植面积稳定在27万亩以上，粮食产量稳定在9500万公斤以上。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2019年启动共计2.15万亩的高标准农田建设项目，确保2020年完成建设任务，累计建成高标准农田10万亩以上。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加强哈尼梯田保护，2020年羊街、那诺各恢复哈尼梯田600亩以上。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羊街乡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那诺乡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全面完成22万亩粮食生产功能区和7万亩重要农产品生产保护区划定任务。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加强农田水利建设，每年新建“五小水利”工程0.3万件。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2020年烤烟、甘蔗、水果种植面积分别稳定在6万亩、7万亩、40万亩以上，芦荟、茉莉花、中药材等特色生物资源种植面积在3万亩以上。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县烟草产业服务中心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继续推进10万头生猪循环经济养殖项目，力争2019年完成10个单元，2020年累计完成50个单元。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每年完成主要农产品农药残留快速检测2000个以上，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农产品综合抽检合格率稳定在98%以上。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严格落实生猪屠宰“两项制度”，依法取缔未达村的屠宰企业。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2020年农业科技进步贡献率达56%。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县工业商贸和科技信息局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restart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spacing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pacing w:val="0"/>
                <w:sz w:val="24"/>
                <w:szCs w:val="24"/>
              </w:rPr>
              <w:t>扎实推进乡村建设，加快补齐农村短板</w:t>
            </w: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2019年完成200个以上村庄规划，2020 年底村庄规划率达100%，积极启动30个“多规合一”试点工作。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26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2019年启动27个贫困地区人居环境整治示范村建设和2个农村饮水安全建设，申报建设5个五型村庄建设，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 xml:space="preserve">2020年建设完成3个美丽宜居型、3个提升改善型村庄，每个乡镇（街道）至少开工建设1个以上五型村庄。 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县住房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城乡建设局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县扶贫办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26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到2019年底，乡镇（街道）集镇区生活垃圾实现全收集全处理；到2020年，村庄生活垃圾基本实现全收集全处理。到2020年，乡镇（街道）集镇区生活污水处理设施基本实现全覆盖。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县住房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城乡建设局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市生态环境局元江分局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2019年改造提升各乡镇（街道）集镇区公厕10座，行政村村委会所在地公厕29座；2020年改造提升政村村委会所在地公厕23座。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县住房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城乡建设局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力争到2020年每个乡镇街道至少实施1个“厕所革命”整村推进示范村。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县住房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2019年</w:t>
            </w:r>
            <w:r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  <w:t>改造建设无害化卫生户厕4748座以上，到2020年累计改造建设无害化卫生户厕11870座以上。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县住房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城乡建设局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restart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spacing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pacing w:val="0"/>
                <w:sz w:val="24"/>
                <w:szCs w:val="24"/>
              </w:rPr>
              <w:t>扎实推进乡村建设，加快补齐农村短板</w:t>
            </w: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实施2个贫困乡33个贫困村为重点的农村饮水安全巩固提升项目建设，完成6.85万人农村人口饮水安全巩固提升任务。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到2020年，建设撤并建制村公路77.97公里，改造窄路面加宽67.52公里，建设相邻州市连接公路82.2公里，建设自然村通畅公路570.11公里。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提升乡村电气化水平，农村电网供电可靠率达到99.8％，户均配变容量不低于2千伏安。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县供电局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完善县乡村物流基础设施，2020年在全县行政村和具备条件的自然村基本实现物流配送网点全覆盖。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县工业商贸和科技信息局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推进宽带网络向村庄延伸，2020年农村家庭宽带普及率达到80％。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县工业商贸和科技信息局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确保义务教育巩固率达到96%以上，稳步推进“一村一幼”建设。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县教育体育局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2020年城乡居民基本养老保险参保率超过96%，城乡基本医疗保险参保率超过95%。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县人力资源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社会保障局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方正仿宋_GBK"/>
                <w:spacing w:val="0"/>
                <w:sz w:val="24"/>
                <w:szCs w:val="24"/>
              </w:rPr>
              <w:t>医疗保障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每年推广测土配方施肥25万亩以上，实施绿色防控和统防统治各30万亩次以上。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加强畜禽粪污资源化利用治理，2019年畜禽粪污综合利用率达86%以上，2020年达90%以上。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2020年村庄绿化覆盖率达到32%。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县住房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城乡建设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方正仿宋_GBK"/>
                <w:bCs/>
                <w:spacing w:val="0"/>
                <w:sz w:val="24"/>
                <w:szCs w:val="24"/>
              </w:rPr>
              <w:t>林业和草原</w:t>
            </w:r>
            <w:r>
              <w:rPr>
                <w:rFonts w:ascii="Times New Roman" w:hAnsi="Times New Roman" w:eastAsia="方正仿宋_GBK"/>
                <w:bCs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restart"/>
            <w:vAlign w:val="center"/>
          </w:tcPr>
          <w:p>
            <w:pPr>
              <w:pStyle w:val="7"/>
              <w:pBdr>
                <w:bottom w:val="single" w:color="FFFFFF" w:sz="4" w:space="15"/>
              </w:pBdr>
              <w:tabs>
                <w:tab w:val="left" w:pos="1440"/>
              </w:tabs>
              <w:autoSpaceDE w:val="0"/>
              <w:autoSpaceDN w:val="0"/>
              <w:adjustRightInd w:val="0"/>
              <w:snapToGrid w:val="0"/>
              <w:spacing w:line="300" w:lineRule="exact"/>
              <w:contextualSpacing/>
              <w:rPr>
                <w:rFonts w:hint="default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/>
                <w:color w:val="000000"/>
                <w:sz w:val="24"/>
                <w:szCs w:val="24"/>
              </w:rPr>
              <w:t>深入推进农村改革，激发乡村发展活力</w:t>
            </w: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衔接落实好第二轮土地承包到期后再延长30年政策，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每年引导农民有序流转耕地6万亩以上。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2019年9月底前全面完成农村集体产权制度改革试点任务。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2019年计划实施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投保面积水稻2.5万亩、玉米6.5万亩、甘蔗5万亩，能繁母猪投保，</w:t>
            </w: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对贫困户种粮实现政策性农业保险全覆盖，2020年保持政策连续性。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县财政局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  <w:shd w:val="clear" w:color="auto" w:fill="FFFFFF"/>
              </w:rPr>
              <w:t>力争2020 年全县81个行政村（社区）集体经济收入达5万元以上。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县委组织部、县财政局</w:t>
            </w:r>
          </w:p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县农业农村局、县扶贫办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restart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方正楷体_GBK" w:hAnsi="Times New Roman" w:eastAsia="方正楷体_GBK"/>
                <w:spacing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pacing w:val="0"/>
                <w:sz w:val="24"/>
                <w:szCs w:val="24"/>
              </w:rPr>
              <w:t>完善乡村治理机制，保持农村和谐稳定</w:t>
            </w: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结合新时代乡村治理要求，加快村规民约修改完善工作，确保2019年完成所有村（社区）村规民约修改。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vMerge w:val="continue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center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2020年县级及以上文明村和文明乡镇占比达70%以上。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县委宣传部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6" w:type="dxa"/>
            <w:vMerge w:val="continue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center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</w:p>
        </w:tc>
        <w:tc>
          <w:tcPr>
            <w:tcW w:w="5252" w:type="dxa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2020年基本实现农村治安复杂区域监控全覆盖。</w:t>
            </w:r>
          </w:p>
        </w:tc>
        <w:tc>
          <w:tcPr>
            <w:tcW w:w="3034" w:type="dxa"/>
            <w:vAlign w:val="center"/>
          </w:tcPr>
          <w:p>
            <w:pPr>
              <w:pStyle w:val="6"/>
              <w:shd w:val="clear" w:color="auto" w:fill="auto"/>
              <w:spacing w:after="0" w:line="300" w:lineRule="exact"/>
              <w:ind w:right="40"/>
              <w:contextualSpacing/>
              <w:jc w:val="both"/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0"/>
                <w:sz w:val="24"/>
                <w:szCs w:val="24"/>
              </w:rPr>
              <w:t>县公安局</w:t>
            </w:r>
          </w:p>
        </w:tc>
      </w:tr>
    </w:tbl>
    <w:p/>
    <w:sectPr>
      <w:pgSz w:w="11906" w:h="16838"/>
      <w:pgMar w:top="2041" w:right="1474" w:bottom="130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4C9A"/>
    <w:rsid w:val="0CEE205F"/>
    <w:rsid w:val="3D864C9A"/>
    <w:rsid w:val="71C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Body text1"/>
    <w:basedOn w:val="1"/>
    <w:qFormat/>
    <w:uiPriority w:val="0"/>
    <w:pPr>
      <w:shd w:val="clear" w:color="auto" w:fill="FFFFFF"/>
      <w:spacing w:after="720" w:line="0" w:lineRule="atLeast"/>
      <w:jc w:val="left"/>
    </w:pPr>
    <w:rPr>
      <w:rFonts w:ascii="MingLiU" w:hAnsi="MingLiU" w:eastAsia="MingLiU" w:cs="Times New Roman"/>
      <w:color w:val="000000"/>
      <w:spacing w:val="30"/>
      <w:kern w:val="0"/>
      <w:sz w:val="27"/>
      <w:szCs w:val="27"/>
      <w:lang w:val="zh-TW"/>
    </w:rPr>
  </w:style>
  <w:style w:type="paragraph" w:customStyle="1" w:styleId="7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2020-04-28T02:51:00Z</dcterms:created>
  <dc:creator>Surper 元 </dc:creator>
  <cp:lastModifiedBy>Surper 元 </cp:lastModifiedBy>
  <dcterms:modified xsi:type="dcterms:W3CDTF">2020-04-28T02:51:47Z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