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3D9B5">
      <w:pPr>
        <w:snapToGrid w:val="0"/>
        <w:spacing w:line="317" w:lineRule="auto"/>
        <w:jc w:val="both"/>
        <w:rPr>
          <w:rFonts w:hint="eastAsia" w:eastAsia="方正小标宋简体"/>
          <w:sz w:val="44"/>
          <w:szCs w:val="44"/>
          <w:lang w:val="en-US" w:eastAsia="zh-CN"/>
        </w:rPr>
      </w:pPr>
    </w:p>
    <w:p w14:paraId="03AB2002">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w:t>
      </w:r>
      <w:r>
        <w:rPr>
          <w:rFonts w:hint="eastAsia" w:ascii="方正小标宋_GBK" w:hAnsi="方正小标宋_GBK" w:eastAsia="方正小标宋_GBK" w:cs="方正小标宋_GBK"/>
          <w:sz w:val="44"/>
          <w:szCs w:val="44"/>
          <w:lang w:val="en-US" w:eastAsia="zh-CN"/>
        </w:rPr>
        <w:t>元江哈尼族彝族傣族自治</w:t>
      </w:r>
      <w:r>
        <w:rPr>
          <w:rFonts w:hint="eastAsia" w:ascii="方正小标宋_GBK" w:hAnsi="方正小标宋_GBK" w:eastAsia="方正小标宋_GBK" w:cs="方正小标宋_GBK"/>
          <w:sz w:val="44"/>
          <w:szCs w:val="44"/>
        </w:rPr>
        <w:t>县</w:t>
      </w:r>
    </w:p>
    <w:p w14:paraId="0449E40B">
      <w:pPr>
        <w:snapToGrid w:val="0"/>
        <w:spacing w:line="317"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烟草制品零售点合理布局规划</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草案</w:t>
      </w:r>
      <w:r>
        <w:rPr>
          <w:rFonts w:hint="eastAsia" w:ascii="方正小标宋_GBK" w:hAnsi="方正小标宋_GBK" w:eastAsia="方正小标宋_GBK" w:cs="方正小标宋_GBK"/>
          <w:sz w:val="44"/>
          <w:szCs w:val="44"/>
          <w:lang w:eastAsia="zh-CN"/>
        </w:rPr>
        <w:t>）</w:t>
      </w:r>
    </w:p>
    <w:p w14:paraId="14A3BE4C">
      <w:pPr>
        <w:snapToGrid w:val="0"/>
        <w:spacing w:line="317" w:lineRule="auto"/>
        <w:jc w:val="center"/>
        <w:rPr>
          <w:rFonts w:hint="eastAsia" w:eastAsia="方正小标宋简体"/>
          <w:sz w:val="44"/>
          <w:szCs w:val="44"/>
          <w:lang w:eastAsia="zh-CN"/>
        </w:rPr>
      </w:pPr>
    </w:p>
    <w:p w14:paraId="52E3BAB8">
      <w:pPr>
        <w:pStyle w:val="9"/>
        <w:numPr>
          <w:ilvl w:val="0"/>
          <w:numId w:val="1"/>
        </w:numPr>
        <w:snapToGrid w:val="0"/>
        <w:spacing w:before="312" w:beforeLines="100" w:after="312" w:afterLines="100" w:line="360" w:lineRule="auto"/>
        <w:ind w:firstLine="640" w:firstLineChars="200"/>
        <w:textAlignment w:val="baseline"/>
        <w:rPr>
          <w:rFonts w:ascii="Times New Roman" w:hAnsi="Times New Roman" w:eastAsia="黑体"/>
          <w:sz w:val="32"/>
          <w:szCs w:val="32"/>
        </w:rPr>
      </w:pPr>
      <w:r>
        <w:rPr>
          <w:rFonts w:ascii="Times New Roman" w:hAnsi="Times New Roman" w:eastAsia="黑体"/>
          <w:sz w:val="32"/>
          <w:szCs w:val="32"/>
        </w:rPr>
        <w:t>总则</w:t>
      </w:r>
    </w:p>
    <w:p w14:paraId="14F551FB">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eastAsia="仿宋_GB2312"/>
          <w:sz w:val="32"/>
          <w:szCs w:val="32"/>
        </w:rPr>
        <w:t>为深入推进</w:t>
      </w:r>
      <w:r>
        <w:rPr>
          <w:rFonts w:hint="eastAsia" w:ascii="仿宋_GB2312" w:eastAsia="仿宋_GB2312"/>
          <w:sz w:val="32"/>
          <w:szCs w:val="32"/>
        </w:rPr>
        <w:t>“放管服”</w:t>
      </w:r>
      <w:r>
        <w:rPr>
          <w:rFonts w:eastAsia="仿宋_GB2312"/>
          <w:sz w:val="32"/>
          <w:szCs w:val="32"/>
        </w:rPr>
        <w:t>改革，依法依规、科学合理制定烟草制品零售点合理布局规划，提升烟草专卖行政许可的公开性、公平性和公正性，依据《中华人民共和国行政许可法》</w:t>
      </w:r>
      <w:r>
        <w:rPr>
          <w:rFonts w:eastAsia="仿宋_GB2312"/>
          <w:bCs/>
          <w:sz w:val="32"/>
          <w:szCs w:val="32"/>
        </w:rPr>
        <w:t>《中华人民共和国未成年人保护法》《中华人民共和国烟草专卖法》</w:t>
      </w:r>
      <w:r>
        <w:rPr>
          <w:rFonts w:eastAsia="仿宋_GB2312"/>
          <w:sz w:val="32"/>
          <w:szCs w:val="32"/>
        </w:rPr>
        <w:t>《中华人民共和国烟草专卖法实施条例》《烟草专卖许可证管理办法》《烟草专卖许可证管理办法实施细则》等法律</w:t>
      </w:r>
      <w:r>
        <w:rPr>
          <w:rFonts w:hint="eastAsia" w:eastAsia="仿宋_GB2312"/>
          <w:sz w:val="32"/>
          <w:szCs w:val="32"/>
        </w:rPr>
        <w:t>、</w:t>
      </w:r>
      <w:r>
        <w:rPr>
          <w:rFonts w:eastAsia="仿宋_GB2312"/>
          <w:sz w:val="32"/>
          <w:szCs w:val="32"/>
        </w:rPr>
        <w:t>法规</w:t>
      </w:r>
      <w:r>
        <w:rPr>
          <w:rFonts w:hint="eastAsia" w:eastAsia="仿宋_GB2312"/>
          <w:sz w:val="32"/>
          <w:szCs w:val="32"/>
        </w:rPr>
        <w:t>、</w:t>
      </w:r>
      <w:r>
        <w:rPr>
          <w:rFonts w:eastAsia="仿宋_GB2312"/>
          <w:sz w:val="32"/>
          <w:szCs w:val="32"/>
        </w:rPr>
        <w:t>规章</w:t>
      </w:r>
      <w:r>
        <w:rPr>
          <w:rFonts w:hint="eastAsia" w:eastAsia="仿宋_GB2312"/>
          <w:sz w:val="32"/>
          <w:szCs w:val="32"/>
        </w:rPr>
        <w:t>和国家烟草专卖局</w:t>
      </w:r>
      <w:r>
        <w:rPr>
          <w:rFonts w:eastAsia="仿宋_GB2312"/>
          <w:sz w:val="32"/>
          <w:szCs w:val="32"/>
        </w:rPr>
        <w:t>的</w:t>
      </w:r>
      <w:r>
        <w:rPr>
          <w:rFonts w:hint="eastAsia" w:eastAsia="仿宋_GB2312"/>
          <w:sz w:val="32"/>
          <w:szCs w:val="32"/>
        </w:rPr>
        <w:t>有关</w:t>
      </w:r>
      <w:r>
        <w:rPr>
          <w:rFonts w:eastAsia="仿宋_GB2312"/>
          <w:sz w:val="32"/>
          <w:szCs w:val="32"/>
        </w:rPr>
        <w:t>规定，结合</w:t>
      </w:r>
      <w:r>
        <w:rPr>
          <w:rFonts w:hint="eastAsia" w:eastAsia="仿宋_GB2312"/>
          <w:sz w:val="32"/>
          <w:szCs w:val="32"/>
          <w:lang w:val="en-US" w:eastAsia="zh-CN"/>
        </w:rPr>
        <w:t>元江</w:t>
      </w:r>
      <w:r>
        <w:rPr>
          <w:rFonts w:eastAsia="仿宋_GB2312"/>
          <w:sz w:val="32"/>
          <w:szCs w:val="32"/>
        </w:rPr>
        <w:t>县实际，制定本规划。</w:t>
      </w:r>
    </w:p>
    <w:p w14:paraId="14685109">
      <w:pPr>
        <w:numPr>
          <w:ilvl w:val="2"/>
          <w:numId w:val="2"/>
        </w:numPr>
        <w:adjustRightInd w:val="0"/>
        <w:snapToGrid w:val="0"/>
        <w:spacing w:line="360" w:lineRule="auto"/>
        <w:ind w:left="-50" w:leftChars="0" w:firstLine="640" w:firstLineChars="0"/>
        <w:textAlignment w:val="baseline"/>
        <w:rPr>
          <w:rFonts w:eastAsia="仿宋_GB2312"/>
          <w:color w:val="FF0000"/>
          <w:sz w:val="32"/>
          <w:szCs w:val="32"/>
        </w:rPr>
      </w:pPr>
      <w:r>
        <w:rPr>
          <w:rFonts w:eastAsia="仿宋_GB2312"/>
          <w:sz w:val="32"/>
          <w:szCs w:val="32"/>
        </w:rPr>
        <w:t>本规划适用于云南省</w:t>
      </w:r>
      <w:r>
        <w:rPr>
          <w:rFonts w:hint="eastAsia" w:eastAsia="仿宋_GB2312"/>
          <w:sz w:val="32"/>
          <w:szCs w:val="32"/>
          <w:lang w:val="en-US" w:eastAsia="zh-CN"/>
        </w:rPr>
        <w:t>元江哈尼族彝族傣族自治</w:t>
      </w:r>
      <w:r>
        <w:rPr>
          <w:rFonts w:eastAsia="仿宋_GB2312"/>
          <w:sz w:val="32"/>
          <w:szCs w:val="32"/>
        </w:rPr>
        <w:t>县行政辖区范围内烟草制品零售点的布局管理。电子烟零售点布局</w:t>
      </w:r>
      <w:r>
        <w:rPr>
          <w:rFonts w:eastAsia="仿宋_GB2312"/>
          <w:color w:val="000000" w:themeColor="text1"/>
          <w:sz w:val="32"/>
          <w:szCs w:val="32"/>
          <w14:textFill>
            <w14:solidFill>
              <w14:schemeClr w14:val="tx1"/>
            </w14:solidFill>
          </w14:textFill>
        </w:rPr>
        <w:t>按照《云南省电子烟零售点布局规划》执行</w:t>
      </w:r>
      <w:r>
        <w:rPr>
          <w:rFonts w:hint="eastAsia" w:eastAsia="仿宋_GB2312"/>
          <w:color w:val="000000" w:themeColor="text1"/>
          <w:sz w:val="32"/>
          <w:szCs w:val="32"/>
          <w:lang w:eastAsia="zh-CN"/>
          <w14:textFill>
            <w14:solidFill>
              <w14:schemeClr w14:val="tx1"/>
            </w14:solidFill>
          </w14:textFill>
        </w:rPr>
        <w:t>。</w:t>
      </w:r>
    </w:p>
    <w:p w14:paraId="2C711BF2">
      <w:pPr>
        <w:numPr>
          <w:ilvl w:val="2"/>
          <w:numId w:val="2"/>
        </w:numPr>
        <w:adjustRightInd w:val="0"/>
        <w:snapToGrid w:val="0"/>
        <w:spacing w:line="360" w:lineRule="auto"/>
        <w:ind w:left="-50" w:leftChars="0" w:firstLine="640" w:firstLineChars="0"/>
        <w:jc w:val="left"/>
        <w:textAlignment w:val="baseline"/>
        <w:rPr>
          <w:rFonts w:eastAsia="仿宋_GB2312"/>
          <w:sz w:val="32"/>
          <w:szCs w:val="32"/>
        </w:rPr>
      </w:pPr>
      <w:r>
        <w:rPr>
          <w:rFonts w:eastAsia="仿宋_GB2312"/>
          <w:sz w:val="32"/>
          <w:szCs w:val="32"/>
        </w:rPr>
        <w:t>本规划所称烟草制品零售点（以下简称零售点）是指依法取得烟草专卖零售许可证（以下简称零售许可证）的公民、法人</w:t>
      </w:r>
      <w:r>
        <w:rPr>
          <w:rFonts w:hint="eastAsia" w:eastAsia="仿宋_GB2312"/>
          <w:sz w:val="32"/>
          <w:szCs w:val="32"/>
          <w:lang w:val="en-US" w:eastAsia="zh-CN"/>
        </w:rPr>
        <w:t>或</w:t>
      </w:r>
      <w:r>
        <w:rPr>
          <w:rFonts w:eastAsia="仿宋_GB2312"/>
          <w:sz w:val="32"/>
          <w:szCs w:val="32"/>
        </w:rPr>
        <w:t>其他组织从事烟草制品零售业务的经营场所。</w:t>
      </w:r>
    </w:p>
    <w:p w14:paraId="166FCD48">
      <w:pPr>
        <w:adjustRightInd w:val="0"/>
        <w:snapToGrid w:val="0"/>
        <w:spacing w:line="360" w:lineRule="auto"/>
        <w:ind w:firstLine="640" w:firstLineChars="200"/>
        <w:rPr>
          <w:rFonts w:eastAsia="仿宋_GB2312"/>
          <w:bCs/>
          <w:sz w:val="32"/>
          <w:szCs w:val="32"/>
        </w:rPr>
      </w:pPr>
      <w:r>
        <w:rPr>
          <w:rFonts w:eastAsia="仿宋_GB2312"/>
          <w:bCs/>
          <w:sz w:val="32"/>
          <w:szCs w:val="32"/>
        </w:rPr>
        <w:t>零售点应当设置于与住所相独立的固定经营场所，经营场所与住所应当</w:t>
      </w:r>
      <w:r>
        <w:rPr>
          <w:rFonts w:eastAsia="仿宋_GB2312"/>
          <w:sz w:val="32"/>
          <w:szCs w:val="32"/>
        </w:rPr>
        <w:t>在空间上相互独立，在物理特性上应有实体墙相隔离</w:t>
      </w:r>
      <w:r>
        <w:rPr>
          <w:rFonts w:hint="eastAsia" w:eastAsia="仿宋_GB2312"/>
          <w:sz w:val="32"/>
          <w:szCs w:val="32"/>
          <w:lang w:eastAsia="zh-CN"/>
        </w:rPr>
        <w:t>，</w:t>
      </w:r>
      <w:r>
        <w:rPr>
          <w:rFonts w:hint="eastAsia" w:eastAsia="仿宋_GB2312"/>
          <w:sz w:val="32"/>
          <w:szCs w:val="32"/>
        </w:rPr>
        <w:t>不能具有连通性。</w:t>
      </w:r>
      <w:r>
        <w:rPr>
          <w:rFonts w:eastAsia="仿宋_GB2312"/>
          <w:sz w:val="32"/>
          <w:szCs w:val="32"/>
        </w:rPr>
        <w:t>经营场所</w:t>
      </w:r>
      <w:r>
        <w:rPr>
          <w:rFonts w:hint="eastAsia" w:eastAsia="仿宋_GB2312"/>
          <w:sz w:val="32"/>
          <w:szCs w:val="32"/>
        </w:rPr>
        <w:t>应有指向明确并唯一的门牌、地址或者方位表述，</w:t>
      </w:r>
      <w:r>
        <w:rPr>
          <w:rFonts w:hint="eastAsia" w:eastAsia="仿宋_GB2312"/>
          <w:bCs/>
          <w:sz w:val="32"/>
          <w:szCs w:val="32"/>
        </w:rPr>
        <w:t>且</w:t>
      </w:r>
      <w:r>
        <w:rPr>
          <w:rFonts w:eastAsia="仿宋_GB2312"/>
          <w:bCs/>
          <w:sz w:val="32"/>
          <w:szCs w:val="32"/>
        </w:rPr>
        <w:t>与营业执照登记注册的经营场所一致</w:t>
      </w:r>
      <w:r>
        <w:rPr>
          <w:rFonts w:hint="eastAsia" w:eastAsia="仿宋_GB2312"/>
          <w:bCs/>
          <w:sz w:val="32"/>
          <w:szCs w:val="32"/>
        </w:rPr>
        <w:t>，并</w:t>
      </w:r>
      <w:r>
        <w:rPr>
          <w:rFonts w:eastAsia="仿宋_GB2312"/>
          <w:bCs/>
          <w:sz w:val="32"/>
          <w:szCs w:val="32"/>
        </w:rPr>
        <w:t>面向公众经营。</w:t>
      </w:r>
    </w:p>
    <w:p w14:paraId="0E45E335">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eastAsia="仿宋_GB2312"/>
          <w:sz w:val="32"/>
          <w:szCs w:val="32"/>
        </w:rPr>
        <w:t>本规划遵循依法行政、科学规划、服务社会、均衡发展原则</w:t>
      </w:r>
      <w:r>
        <w:rPr>
          <w:rFonts w:hint="eastAsia" w:eastAsia="仿宋_GB2312"/>
          <w:sz w:val="32"/>
          <w:szCs w:val="32"/>
          <w:lang w:eastAsia="zh-CN"/>
        </w:rPr>
        <w:t>。</w:t>
      </w:r>
      <w:r>
        <w:rPr>
          <w:rFonts w:eastAsia="仿宋_GB2312"/>
          <w:sz w:val="32"/>
          <w:szCs w:val="32"/>
        </w:rPr>
        <w:t>综合辖区内人口数量、交通状况、经济发展水平、消费能力等因素，对零售点进行科学合理的规划布局。</w:t>
      </w:r>
    </w:p>
    <w:p w14:paraId="263C4DF3">
      <w:pPr>
        <w:pStyle w:val="9"/>
        <w:numPr>
          <w:ilvl w:val="0"/>
          <w:numId w:val="1"/>
        </w:numPr>
        <w:snapToGrid w:val="0"/>
        <w:spacing w:before="312" w:beforeLines="100" w:after="312" w:afterLines="100" w:line="360" w:lineRule="auto"/>
        <w:ind w:firstLine="640" w:firstLineChars="200"/>
        <w:textAlignment w:val="baseline"/>
        <w:rPr>
          <w:color w:val="000000" w:themeColor="text1"/>
          <w14:textFill>
            <w14:solidFill>
              <w14:schemeClr w14:val="tx1"/>
            </w14:solidFill>
          </w14:textFill>
        </w:rPr>
      </w:pPr>
      <w:r>
        <w:rPr>
          <w:rFonts w:ascii="Times New Roman" w:hAnsi="Times New Roman" w:eastAsia="黑体"/>
          <w:color w:val="000000" w:themeColor="text1"/>
          <w:sz w:val="32"/>
          <w:szCs w:val="32"/>
          <w14:textFill>
            <w14:solidFill>
              <w14:schemeClr w14:val="tx1"/>
            </w14:solidFill>
          </w14:textFill>
        </w:rPr>
        <w:t>零售点布局标准</w:t>
      </w:r>
    </w:p>
    <w:p w14:paraId="5DD46A31">
      <w:pPr>
        <w:numPr>
          <w:ilvl w:val="2"/>
          <w:numId w:val="2"/>
        </w:numPr>
        <w:adjustRightInd w:val="0"/>
        <w:snapToGrid w:val="0"/>
        <w:spacing w:line="360" w:lineRule="auto"/>
        <w:ind w:left="-50" w:leftChars="0" w:firstLine="640" w:firstLineChars="0"/>
        <w:textAlignment w:val="baseline"/>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本章适用于经营范围除“仅为雪茄烟本店零售”以外的卷烟、雪茄烟、消费类烟丝的零售点布局管理。</w:t>
      </w:r>
    </w:p>
    <w:p w14:paraId="58673677">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hint="eastAsia" w:eastAsia="仿宋_GB2312"/>
          <w:sz w:val="32"/>
          <w:szCs w:val="32"/>
          <w:lang w:val="en-US" w:eastAsia="zh-CN"/>
        </w:rPr>
        <w:t>零</w:t>
      </w:r>
      <w:r>
        <w:rPr>
          <w:rFonts w:eastAsia="仿宋_GB2312"/>
          <w:sz w:val="32"/>
          <w:szCs w:val="32"/>
        </w:rPr>
        <w:t>售点布局采用数量限制、距离限制、数量限制</w:t>
      </w:r>
      <w:r>
        <w:rPr>
          <w:rFonts w:eastAsia="仿宋_GB2312"/>
          <w:bCs/>
          <w:sz w:val="32"/>
          <w:szCs w:val="32"/>
        </w:rPr>
        <w:t>与距离</w:t>
      </w:r>
      <w:r>
        <w:rPr>
          <w:rFonts w:eastAsia="仿宋_GB2312"/>
          <w:sz w:val="32"/>
          <w:szCs w:val="32"/>
        </w:rPr>
        <w:t>限制</w:t>
      </w:r>
      <w:r>
        <w:rPr>
          <w:rFonts w:eastAsia="仿宋_GB2312"/>
          <w:bCs/>
          <w:sz w:val="32"/>
          <w:szCs w:val="32"/>
        </w:rPr>
        <w:t>相结合</w:t>
      </w:r>
      <w:r>
        <w:rPr>
          <w:rFonts w:hint="eastAsia" w:eastAsia="仿宋_GB2312"/>
          <w:bCs/>
          <w:sz w:val="32"/>
          <w:szCs w:val="32"/>
          <w:lang w:val="en-US" w:eastAsia="zh-CN"/>
        </w:rPr>
        <w:t>以及</w:t>
      </w:r>
      <w:r>
        <w:rPr>
          <w:rFonts w:eastAsia="仿宋_GB2312"/>
          <w:sz w:val="32"/>
          <w:szCs w:val="32"/>
        </w:rPr>
        <w:t>不予设置烟草制品零售点等布局标准。</w:t>
      </w:r>
    </w:p>
    <w:p w14:paraId="417B4AA0">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eastAsia="仿宋_GB2312"/>
          <w:sz w:val="32"/>
          <w:szCs w:val="32"/>
        </w:rPr>
        <w:t>根据地域面积、人口数量、交通状况、经济发展水平、居民消费能力、消费购买习惯等因素，合理确定区域零售点规划数，并划定单元网格。单元网格零售点规划数是指单元网格内可设置零售点的数量。总量规划数是指</w:t>
      </w:r>
      <w:r>
        <w:rPr>
          <w:rFonts w:hint="eastAsia" w:eastAsia="仿宋_GB2312"/>
          <w:sz w:val="32"/>
          <w:szCs w:val="32"/>
          <w:lang w:val="en-US" w:eastAsia="zh-CN"/>
        </w:rPr>
        <w:t>元江</w:t>
      </w:r>
      <w:r>
        <w:rPr>
          <w:rFonts w:eastAsia="仿宋_GB2312"/>
          <w:sz w:val="32"/>
          <w:szCs w:val="32"/>
        </w:rPr>
        <w:t>县辖区范围内所有单元网格零售点规划数之和。</w:t>
      </w:r>
    </w:p>
    <w:p w14:paraId="3660C878">
      <w:pPr>
        <w:adjustRightInd w:val="0"/>
        <w:snapToGrid w:val="0"/>
        <w:spacing w:line="360" w:lineRule="auto"/>
        <w:ind w:firstLine="640" w:firstLineChars="200"/>
        <w:textAlignment w:val="baseline"/>
        <w:rPr>
          <w:rFonts w:eastAsia="仿宋_GB2312"/>
          <w:sz w:val="32"/>
          <w:szCs w:val="32"/>
        </w:rPr>
      </w:pPr>
      <w:r>
        <w:rPr>
          <w:rFonts w:eastAsia="仿宋_GB2312"/>
          <w:sz w:val="32"/>
          <w:szCs w:val="32"/>
        </w:rPr>
        <w:t>除本规划规定的特殊区域外，单元网格内零售点数量达到规划数时，该单元网格不予新设零售点。</w:t>
      </w:r>
    </w:p>
    <w:p w14:paraId="71AEC097">
      <w:pPr>
        <w:numPr>
          <w:ilvl w:val="2"/>
          <w:numId w:val="2"/>
        </w:numPr>
        <w:adjustRightInd w:val="0"/>
        <w:snapToGrid w:val="0"/>
        <w:spacing w:line="360" w:lineRule="auto"/>
        <w:ind w:left="-50" w:leftChars="0" w:firstLine="680" w:firstLineChars="0"/>
        <w:jc w:val="both"/>
        <w:rPr>
          <w:rFonts w:eastAsia="仿宋_GB2312"/>
          <w:sz w:val="32"/>
          <w:szCs w:val="32"/>
        </w:rPr>
      </w:pPr>
      <w:r>
        <w:rPr>
          <w:rFonts w:eastAsia="仿宋_GB2312"/>
          <w:spacing w:val="10"/>
          <w:sz w:val="32"/>
          <w:szCs w:val="32"/>
        </w:rPr>
        <w:t>根据零售市场状态、</w:t>
      </w:r>
      <w:r>
        <w:rPr>
          <w:rFonts w:eastAsia="仿宋_GB2312"/>
          <w:sz w:val="32"/>
          <w:szCs w:val="32"/>
        </w:rPr>
        <w:t>交通状况、人口</w:t>
      </w:r>
      <w:r>
        <w:rPr>
          <w:rFonts w:hint="eastAsia" w:eastAsia="仿宋_GB2312"/>
          <w:sz w:val="32"/>
          <w:szCs w:val="32"/>
          <w:lang w:val="en-US" w:eastAsia="zh-CN"/>
        </w:rPr>
        <w:t>密度</w:t>
      </w:r>
      <w:r>
        <w:rPr>
          <w:rFonts w:eastAsia="仿宋_GB2312"/>
          <w:sz w:val="32"/>
          <w:szCs w:val="32"/>
        </w:rPr>
        <w:t>、消费购买习惯等</w:t>
      </w:r>
      <w:r>
        <w:rPr>
          <w:rFonts w:eastAsia="仿宋_GB2312"/>
          <w:spacing w:val="10"/>
          <w:sz w:val="32"/>
          <w:szCs w:val="32"/>
        </w:rPr>
        <w:t>因素，合理确定零售点间距。零售点间距是指申请人拟从事烟草制品零售业务的经营场所与最近的烟草制品零售点之间的距离。测量的总体原则为两个零售点“门边到门边”可安全步行的最短距离。</w:t>
      </w:r>
      <w:r>
        <w:rPr>
          <w:rFonts w:eastAsia="仿宋_GB2312"/>
          <w:sz w:val="32"/>
          <w:szCs w:val="32"/>
        </w:rPr>
        <w:t>测量规则及标准</w:t>
      </w:r>
      <w:r>
        <w:rPr>
          <w:rFonts w:eastAsia="仿宋_GB2312"/>
          <w:spacing w:val="10"/>
          <w:sz w:val="32"/>
          <w:szCs w:val="32"/>
        </w:rPr>
        <w:t>详见《云南省</w:t>
      </w:r>
      <w:r>
        <w:rPr>
          <w:rFonts w:hint="eastAsia" w:eastAsia="仿宋_GB2312"/>
          <w:spacing w:val="10"/>
          <w:sz w:val="32"/>
          <w:szCs w:val="32"/>
          <w:lang w:val="en-US" w:eastAsia="zh-CN"/>
        </w:rPr>
        <w:t>元江哈尼族彝族傣族自治</w:t>
      </w:r>
      <w:r>
        <w:rPr>
          <w:rFonts w:eastAsia="仿宋_GB2312"/>
          <w:spacing w:val="10"/>
          <w:sz w:val="32"/>
          <w:szCs w:val="32"/>
        </w:rPr>
        <w:t>县烟草制品零售点间距测量规则及标准》（附件</w:t>
      </w:r>
      <w:r>
        <w:rPr>
          <w:rFonts w:hint="eastAsia" w:eastAsia="仿宋_GB2312"/>
          <w:spacing w:val="10"/>
          <w:sz w:val="32"/>
          <w:szCs w:val="32"/>
        </w:rPr>
        <w:t>1</w:t>
      </w:r>
      <w:r>
        <w:rPr>
          <w:rFonts w:eastAsia="仿宋_GB2312"/>
          <w:spacing w:val="10"/>
          <w:sz w:val="32"/>
          <w:szCs w:val="32"/>
        </w:rPr>
        <w:t>）</w:t>
      </w:r>
      <w:r>
        <w:rPr>
          <w:rFonts w:hint="eastAsia" w:eastAsia="仿宋_GB2312"/>
          <w:spacing w:val="10"/>
          <w:sz w:val="32"/>
          <w:szCs w:val="32"/>
        </w:rPr>
        <w:t>。</w:t>
      </w:r>
    </w:p>
    <w:p w14:paraId="441CA833">
      <w:pPr>
        <w:numPr>
          <w:ilvl w:val="2"/>
          <w:numId w:val="2"/>
        </w:numPr>
        <w:adjustRightInd w:val="0"/>
        <w:snapToGrid w:val="0"/>
        <w:spacing w:line="360" w:lineRule="auto"/>
        <w:ind w:left="-50" w:leftChars="0" w:firstLine="680" w:firstLineChars="0"/>
        <w:jc w:val="both"/>
        <w:textAlignment w:val="baseline"/>
        <w:rPr>
          <w:rFonts w:eastAsia="仿宋_GB2312"/>
          <w:spacing w:val="10"/>
          <w:sz w:val="32"/>
          <w:szCs w:val="32"/>
        </w:rPr>
      </w:pPr>
      <w:r>
        <w:rPr>
          <w:rFonts w:hint="eastAsia" w:eastAsia="仿宋_GB2312"/>
          <w:spacing w:val="10"/>
          <w:sz w:val="32"/>
          <w:szCs w:val="32"/>
        </w:rPr>
        <w:t>在以下特殊区域可单独设置1个零售点，不受单元网格规划数及总量规划数限制</w:t>
      </w:r>
      <w:r>
        <w:rPr>
          <w:rFonts w:hint="eastAsia"/>
          <w:lang w:eastAsia="zh-CN"/>
        </w:rPr>
        <w:t>：</w:t>
      </w:r>
    </w:p>
    <w:p w14:paraId="1117A39B">
      <w:pPr>
        <w:numPr>
          <w:ilvl w:val="0"/>
          <w:numId w:val="0"/>
        </w:numPr>
        <w:adjustRightInd w:val="0"/>
        <w:snapToGrid w:val="0"/>
        <w:spacing w:line="360" w:lineRule="auto"/>
        <w:ind w:firstLine="680" w:firstLineChars="200"/>
        <w:jc w:val="both"/>
        <w:textAlignment w:val="baseline"/>
        <w:rPr>
          <w:rFonts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一</w:t>
      </w:r>
      <w:r>
        <w:rPr>
          <w:rFonts w:hint="eastAsia" w:eastAsia="仿宋_GB2312"/>
          <w:spacing w:val="10"/>
          <w:sz w:val="32"/>
          <w:szCs w:val="32"/>
          <w:lang w:eastAsia="zh-CN"/>
        </w:rPr>
        <w:t>）</w:t>
      </w:r>
      <w:r>
        <w:rPr>
          <w:rFonts w:eastAsia="仿宋_GB2312"/>
          <w:spacing w:val="10"/>
          <w:sz w:val="32"/>
          <w:szCs w:val="32"/>
        </w:rPr>
        <w:t>火车站、汽车站等相对封闭的内部等候区</w:t>
      </w:r>
      <w:r>
        <w:rPr>
          <w:rFonts w:hint="eastAsia" w:eastAsia="仿宋_GB2312"/>
          <w:spacing w:val="10"/>
          <w:sz w:val="32"/>
          <w:szCs w:val="32"/>
          <w:lang w:eastAsia="zh-CN"/>
        </w:rPr>
        <w:t>。</w:t>
      </w:r>
    </w:p>
    <w:p w14:paraId="04D4BB38">
      <w:pPr>
        <w:numPr>
          <w:ilvl w:val="0"/>
          <w:numId w:val="0"/>
        </w:numPr>
        <w:adjustRightInd w:val="0"/>
        <w:snapToGrid w:val="0"/>
        <w:spacing w:line="360" w:lineRule="auto"/>
        <w:ind w:firstLine="680" w:firstLineChars="200"/>
        <w:jc w:val="both"/>
        <w:textAlignment w:val="baseline"/>
        <w:rPr>
          <w:rFonts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二</w:t>
      </w:r>
      <w:r>
        <w:rPr>
          <w:rFonts w:hint="eastAsia" w:eastAsia="仿宋_GB2312"/>
          <w:spacing w:val="10"/>
          <w:sz w:val="32"/>
          <w:szCs w:val="32"/>
          <w:lang w:eastAsia="zh-CN"/>
        </w:rPr>
        <w:t>）</w:t>
      </w:r>
      <w:r>
        <w:rPr>
          <w:rFonts w:eastAsia="仿宋_GB2312"/>
          <w:spacing w:val="10"/>
          <w:sz w:val="32"/>
          <w:szCs w:val="32"/>
        </w:rPr>
        <w:t>部队、监狱、看守所、戒毒所等封闭式特殊区域</w:t>
      </w:r>
      <w:r>
        <w:rPr>
          <w:rFonts w:hint="eastAsia" w:eastAsia="仿宋_GB2312"/>
          <w:spacing w:val="10"/>
          <w:sz w:val="32"/>
          <w:szCs w:val="32"/>
          <w:lang w:eastAsia="zh-CN"/>
        </w:rPr>
        <w:t>。</w:t>
      </w:r>
    </w:p>
    <w:p w14:paraId="77AD690D">
      <w:pPr>
        <w:numPr>
          <w:ilvl w:val="0"/>
          <w:numId w:val="0"/>
        </w:numPr>
        <w:adjustRightInd w:val="0"/>
        <w:snapToGrid w:val="0"/>
        <w:spacing w:line="360" w:lineRule="auto"/>
        <w:ind w:firstLine="680" w:firstLineChars="200"/>
        <w:jc w:val="both"/>
        <w:textAlignment w:val="baseline"/>
        <w:rPr>
          <w:rFonts w:hint="eastAsia" w:eastAsia="仿宋_GB2312"/>
          <w:spacing w:val="10"/>
          <w:sz w:val="32"/>
          <w:szCs w:val="32"/>
          <w:lang w:eastAsia="zh-CN"/>
        </w:rPr>
      </w:pPr>
      <w:r>
        <w:rPr>
          <w:rFonts w:hint="eastAsia" w:eastAsia="仿宋_GB2312"/>
          <w:spacing w:val="10"/>
          <w:sz w:val="32"/>
          <w:szCs w:val="32"/>
          <w:lang w:eastAsia="zh-CN"/>
        </w:rPr>
        <w:t>（</w:t>
      </w:r>
      <w:r>
        <w:rPr>
          <w:rFonts w:hint="eastAsia" w:eastAsia="仿宋_GB2312"/>
          <w:spacing w:val="10"/>
          <w:sz w:val="32"/>
          <w:szCs w:val="32"/>
          <w:lang w:val="en-US" w:eastAsia="zh-CN"/>
        </w:rPr>
        <w:t>三</w:t>
      </w:r>
      <w:r>
        <w:rPr>
          <w:rFonts w:hint="eastAsia" w:eastAsia="仿宋_GB2312"/>
          <w:spacing w:val="10"/>
          <w:sz w:val="32"/>
          <w:szCs w:val="32"/>
          <w:lang w:eastAsia="zh-CN"/>
        </w:rPr>
        <w:t>）高速公路单侧加油站（含服务区）。</w:t>
      </w:r>
    </w:p>
    <w:p w14:paraId="790D9738">
      <w:pPr>
        <w:numPr>
          <w:ilvl w:val="2"/>
          <w:numId w:val="2"/>
        </w:numPr>
        <w:adjustRightInd w:val="0"/>
        <w:snapToGrid w:val="0"/>
        <w:spacing w:line="360" w:lineRule="auto"/>
        <w:ind w:left="-50" w:firstLine="680"/>
        <w:jc w:val="both"/>
        <w:textAlignment w:val="baseline"/>
        <w:rPr>
          <w:rFonts w:eastAsia="仿宋_GB2312"/>
          <w:color w:val="auto"/>
          <w:spacing w:val="10"/>
          <w:sz w:val="32"/>
          <w:szCs w:val="32"/>
        </w:rPr>
      </w:pPr>
      <w:r>
        <w:rPr>
          <w:rFonts w:hint="eastAsia" w:eastAsia="仿宋_GB2312"/>
          <w:color w:val="auto"/>
          <w:spacing w:val="10"/>
          <w:sz w:val="32"/>
          <w:szCs w:val="32"/>
          <w:lang w:val="en-US" w:eastAsia="zh-CN"/>
        </w:rPr>
        <w:t>以下情形，可不受区域单元网格规划数量、距离限制，</w:t>
      </w:r>
      <w:r>
        <w:rPr>
          <w:rFonts w:hint="eastAsia" w:eastAsia="仿宋_GB2312"/>
          <w:color w:val="auto"/>
          <w:spacing w:val="10"/>
          <w:sz w:val="32"/>
          <w:szCs w:val="32"/>
        </w:rPr>
        <w:t>单独设置1个零售点。</w:t>
      </w:r>
    </w:p>
    <w:p w14:paraId="786DB696">
      <w:pPr>
        <w:widowControl/>
        <w:numPr>
          <w:ilvl w:val="0"/>
          <w:numId w:val="0"/>
        </w:numPr>
        <w:adjustRightInd w:val="0"/>
        <w:snapToGrid w:val="0"/>
        <w:spacing w:line="360" w:lineRule="auto"/>
        <w:ind w:left="0" w:leftChars="0" w:firstLine="680" w:firstLineChars="200"/>
        <w:jc w:val="both"/>
        <w:textAlignment w:val="baseline"/>
        <w:rPr>
          <w:rFonts w:hint="eastAsia" w:eastAsia="仿宋_GB2312"/>
          <w:color w:val="auto"/>
          <w:spacing w:val="10"/>
          <w:sz w:val="32"/>
          <w:szCs w:val="32"/>
          <w:lang w:eastAsia="zh-CN"/>
        </w:rPr>
      </w:pP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一</w:t>
      </w:r>
      <w:r>
        <w:rPr>
          <w:rFonts w:hint="eastAsia" w:eastAsia="仿宋_GB2312"/>
          <w:color w:val="auto"/>
          <w:spacing w:val="10"/>
          <w:sz w:val="32"/>
          <w:szCs w:val="32"/>
          <w:lang w:eastAsia="zh-CN"/>
        </w:rPr>
        <w:t>）经营面积</w:t>
      </w:r>
      <w:r>
        <w:rPr>
          <w:rFonts w:hint="eastAsia" w:eastAsia="仿宋_GB2312"/>
          <w:color w:val="auto"/>
          <w:spacing w:val="10"/>
          <w:sz w:val="32"/>
          <w:szCs w:val="32"/>
          <w:lang w:val="en-US" w:eastAsia="zh-CN"/>
        </w:rPr>
        <w:t>（不包括仓库、车库、休息室、办公场</w:t>
      </w:r>
      <w:r>
        <w:rPr>
          <w:rFonts w:hint="eastAsia" w:eastAsia="仿宋_GB2312"/>
          <w:color w:val="auto"/>
          <w:spacing w:val="10"/>
          <w:sz w:val="32"/>
          <w:szCs w:val="32"/>
          <w:lang w:eastAsia="zh-CN"/>
        </w:rPr>
        <w:t>所等辅助设施面积）达到</w:t>
      </w:r>
      <w:r>
        <w:rPr>
          <w:rFonts w:hint="eastAsia" w:eastAsia="仿宋_GB2312"/>
          <w:color w:val="auto"/>
          <w:spacing w:val="10"/>
          <w:sz w:val="32"/>
          <w:szCs w:val="32"/>
          <w:lang w:val="en-US" w:eastAsia="zh-CN"/>
        </w:rPr>
        <w:t>500</w:t>
      </w:r>
      <w:r>
        <w:rPr>
          <w:rFonts w:hint="eastAsia" w:eastAsia="仿宋_GB2312"/>
          <w:color w:val="auto"/>
          <w:spacing w:val="10"/>
          <w:sz w:val="32"/>
          <w:szCs w:val="32"/>
          <w:lang w:eastAsia="zh-CN"/>
        </w:rPr>
        <w:t>平方米及以上的超市、1</w:t>
      </w:r>
      <w:r>
        <w:rPr>
          <w:rFonts w:hint="eastAsia" w:eastAsia="仿宋_GB2312"/>
          <w:color w:val="auto"/>
          <w:spacing w:val="10"/>
          <w:sz w:val="32"/>
          <w:szCs w:val="32"/>
          <w:lang w:val="en-US" w:eastAsia="zh-CN"/>
        </w:rPr>
        <w:t>8</w:t>
      </w:r>
      <w:r>
        <w:rPr>
          <w:rFonts w:hint="eastAsia" w:eastAsia="仿宋_GB2312"/>
          <w:color w:val="auto"/>
          <w:spacing w:val="10"/>
          <w:sz w:val="32"/>
          <w:szCs w:val="32"/>
          <w:lang w:eastAsia="zh-CN"/>
        </w:rPr>
        <w:t>0平方米及以上的便利店。</w:t>
      </w:r>
    </w:p>
    <w:p w14:paraId="172EF2A9">
      <w:pPr>
        <w:keepNext w:val="0"/>
        <w:keepLines w:val="0"/>
        <w:widowControl/>
        <w:suppressLineNumbers w:val="0"/>
        <w:ind w:firstLine="680" w:firstLineChars="200"/>
        <w:jc w:val="both"/>
        <w:rPr>
          <w:rFonts w:hint="default" w:ascii="仿宋_GB2312" w:hAnsi="仿宋_GB2312" w:eastAsia="仿宋_GB2312" w:cs="仿宋_GB2312"/>
          <w:b w:val="0"/>
          <w:bCs w:val="0"/>
          <w:color w:val="auto"/>
          <w:sz w:val="32"/>
          <w:szCs w:val="32"/>
          <w:lang w:val="en-US" w:eastAsia="zh-CN"/>
        </w:rPr>
      </w:pP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二</w:t>
      </w: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商用办公楼宇公共楼层已形成实际商品展卖场所的，每栋</w:t>
      </w:r>
      <w:r>
        <w:rPr>
          <w:rFonts w:hint="eastAsia" w:eastAsia="仿宋_GB2312"/>
          <w:color w:val="auto"/>
          <w:spacing w:val="10"/>
          <w:sz w:val="32"/>
          <w:szCs w:val="32"/>
          <w:lang w:eastAsia="zh-CN"/>
        </w:rPr>
        <w:t>楼宇可设置1个零售点，非公共楼层不予设置零售点。</w:t>
      </w:r>
    </w:p>
    <w:p w14:paraId="5ECF3C3A">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auto"/>
          <w:sz w:val="32"/>
          <w:szCs w:val="32"/>
          <w:lang w:val="en-US" w:eastAsia="zh-CN"/>
        </w:rPr>
        <w:t>元江</w:t>
      </w:r>
      <w:r>
        <w:rPr>
          <w:rFonts w:eastAsia="仿宋_GB2312"/>
          <w:color w:val="auto"/>
          <w:sz w:val="32"/>
          <w:szCs w:val="32"/>
        </w:rPr>
        <w:t>县零售点合理布局规划数及规划区域、</w:t>
      </w:r>
      <w:r>
        <w:rPr>
          <w:rFonts w:hint="eastAsia" w:eastAsia="仿宋_GB2312"/>
          <w:color w:val="auto"/>
          <w:sz w:val="32"/>
          <w:szCs w:val="32"/>
          <w:lang w:val="en-US" w:eastAsia="zh-CN"/>
        </w:rPr>
        <w:t>单元</w:t>
      </w:r>
      <w:r>
        <w:rPr>
          <w:rFonts w:eastAsia="仿宋_GB2312"/>
          <w:color w:val="auto"/>
          <w:sz w:val="32"/>
          <w:szCs w:val="32"/>
        </w:rPr>
        <w:t>网格</w:t>
      </w:r>
      <w:r>
        <w:rPr>
          <w:rFonts w:hint="eastAsia" w:eastAsia="仿宋_GB2312"/>
          <w:color w:val="auto"/>
          <w:sz w:val="32"/>
          <w:szCs w:val="32"/>
          <w:lang w:val="en-US" w:eastAsia="zh-CN"/>
        </w:rPr>
        <w:t>等情况</w:t>
      </w:r>
      <w:r>
        <w:rPr>
          <w:rFonts w:eastAsia="仿宋_GB2312"/>
          <w:color w:val="auto"/>
          <w:sz w:val="32"/>
          <w:szCs w:val="32"/>
        </w:rPr>
        <w:t>等详见《云南省</w:t>
      </w:r>
      <w:r>
        <w:rPr>
          <w:rFonts w:hint="eastAsia" w:eastAsia="仿宋_GB2312"/>
          <w:color w:val="auto"/>
          <w:sz w:val="32"/>
          <w:szCs w:val="32"/>
          <w:lang w:val="en-US" w:eastAsia="zh-CN"/>
        </w:rPr>
        <w:t>元江哈尼族彝族傣族自治</w:t>
      </w:r>
      <w:r>
        <w:rPr>
          <w:rFonts w:eastAsia="仿宋_GB2312"/>
          <w:sz w:val="32"/>
          <w:szCs w:val="32"/>
        </w:rPr>
        <w:t>县烟草专卖局烟草制品零售点合理布局公示表》（附件</w:t>
      </w:r>
      <w:r>
        <w:rPr>
          <w:rFonts w:hint="eastAsia" w:eastAsia="仿宋_GB2312"/>
          <w:sz w:val="32"/>
          <w:szCs w:val="32"/>
        </w:rPr>
        <w:t>2</w:t>
      </w:r>
      <w:r>
        <w:rPr>
          <w:rFonts w:eastAsia="仿宋_GB2312"/>
          <w:sz w:val="32"/>
          <w:szCs w:val="32"/>
        </w:rPr>
        <w:t>）及《云南省</w:t>
      </w:r>
      <w:r>
        <w:rPr>
          <w:rFonts w:hint="eastAsia" w:eastAsia="仿宋_GB2312"/>
          <w:sz w:val="32"/>
          <w:szCs w:val="32"/>
          <w:lang w:val="en-US" w:eastAsia="zh-CN"/>
        </w:rPr>
        <w:t>元江哈尼族彝族傣族自治</w:t>
      </w:r>
      <w:r>
        <w:rPr>
          <w:rFonts w:eastAsia="仿宋_GB2312"/>
          <w:color w:val="000000" w:themeColor="text1"/>
          <w:sz w:val="32"/>
          <w:szCs w:val="32"/>
          <w14:textFill>
            <w14:solidFill>
              <w14:schemeClr w14:val="tx1"/>
            </w14:solidFill>
          </w14:textFill>
        </w:rPr>
        <w:t>县烟草专卖局烟草制品零售点合理布局网格示意图》（附件</w:t>
      </w:r>
      <w:r>
        <w:rPr>
          <w:rFonts w:hint="eastAsia" w:eastAsia="仿宋_GB2312"/>
          <w:color w:val="000000" w:themeColor="text1"/>
          <w:sz w:val="32"/>
          <w:szCs w:val="32"/>
          <w:lang w:val="en-US" w:eastAsia="zh-CN"/>
          <w14:textFill>
            <w14:solidFill>
              <w14:schemeClr w14:val="tx1"/>
            </w14:solidFill>
          </w14:textFill>
        </w:rPr>
        <w:t>3</w:t>
      </w:r>
      <w:r>
        <w:rPr>
          <w:rFonts w:eastAsia="仿宋_GB2312"/>
          <w:color w:val="000000" w:themeColor="text1"/>
          <w:sz w:val="32"/>
          <w:szCs w:val="32"/>
          <w14:textFill>
            <w14:solidFill>
              <w14:schemeClr w14:val="tx1"/>
            </w14:solidFill>
          </w14:textFill>
        </w:rPr>
        <w:t>）。</w:t>
      </w:r>
    </w:p>
    <w:p w14:paraId="013D6E44">
      <w:pPr>
        <w:numPr>
          <w:ilvl w:val="0"/>
          <w:numId w:val="0"/>
        </w:numPr>
        <w:adjustRightInd w:val="0"/>
        <w:snapToGrid w:val="0"/>
        <w:spacing w:line="360" w:lineRule="auto"/>
        <w:jc w:val="both"/>
        <w:textAlignment w:val="baseline"/>
        <w:rPr>
          <w:color w:val="000000" w:themeColor="text1"/>
          <w14:textFill>
            <w14:solidFill>
              <w14:schemeClr w14:val="tx1"/>
            </w14:solidFill>
          </w14:textFill>
        </w:rPr>
      </w:pPr>
    </w:p>
    <w:p w14:paraId="0ED6697C">
      <w:pPr>
        <w:pStyle w:val="9"/>
        <w:numPr>
          <w:ilvl w:val="0"/>
          <w:numId w:val="1"/>
        </w:numPr>
        <w:snapToGrid w:val="0"/>
        <w:spacing w:before="312" w:beforeLines="100" w:after="312" w:afterLines="100" w:line="360" w:lineRule="auto"/>
        <w:ind w:firstLine="640" w:firstLineChars="200"/>
        <w:textAlignment w:val="baseline"/>
        <w:rPr>
          <w:rFonts w:eastAsia="仿宋_GB2312"/>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雪茄烟专营零售点布局标准</w:t>
      </w:r>
    </w:p>
    <w:p w14:paraId="5CEE5A44">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000000" w:themeColor="text1"/>
          <w:spacing w:val="10"/>
          <w:sz w:val="32"/>
          <w:szCs w:val="32"/>
          <w14:textFill>
            <w14:solidFill>
              <w14:schemeClr w14:val="tx1"/>
            </w14:solidFill>
          </w14:textFill>
        </w:rPr>
        <w:t>本章适用于经营范围仅为雪茄烟本店零售的零售点布局管理。</w:t>
      </w:r>
    </w:p>
    <w:p w14:paraId="68AC03CB">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000000" w:themeColor="text1"/>
          <w:spacing w:val="10"/>
          <w:sz w:val="32"/>
          <w:szCs w:val="32"/>
          <w14:textFill>
            <w14:solidFill>
              <w14:schemeClr w14:val="tx1"/>
            </w14:solidFill>
          </w14:textFill>
        </w:rPr>
        <w:t>雪茄烟专营零售点数量实行总量控制、动态调整模式，且不受其他烟草制品（含电子烟）零售点距离限制，规划数详见《</w:t>
      </w:r>
      <w:r>
        <w:rPr>
          <w:rFonts w:eastAsia="仿宋_GB2312"/>
          <w:color w:val="000000" w:themeColor="text1"/>
          <w:sz w:val="32"/>
          <w:szCs w:val="32"/>
          <w14:textFill>
            <w14:solidFill>
              <w14:schemeClr w14:val="tx1"/>
            </w14:solidFill>
          </w14:textFill>
        </w:rPr>
        <w:t>云南省</w:t>
      </w:r>
      <w:r>
        <w:rPr>
          <w:rFonts w:hint="eastAsia" w:eastAsia="仿宋_GB2312"/>
          <w:color w:val="000000" w:themeColor="text1"/>
          <w:sz w:val="32"/>
          <w:szCs w:val="32"/>
          <w:lang w:val="en-US" w:eastAsia="zh-CN"/>
          <w14:textFill>
            <w14:solidFill>
              <w14:schemeClr w14:val="tx1"/>
            </w14:solidFill>
          </w14:textFill>
        </w:rPr>
        <w:t>元江哈尼族彝族傣族自治</w:t>
      </w:r>
      <w:r>
        <w:rPr>
          <w:rFonts w:eastAsia="仿宋_GB2312"/>
          <w:color w:val="000000" w:themeColor="text1"/>
          <w:sz w:val="32"/>
          <w:szCs w:val="32"/>
          <w14:textFill>
            <w14:solidFill>
              <w14:schemeClr w14:val="tx1"/>
            </w14:solidFill>
          </w14:textFill>
        </w:rPr>
        <w:t>县烟草专卖局</w:t>
      </w:r>
      <w:r>
        <w:rPr>
          <w:rFonts w:hint="eastAsia" w:eastAsia="仿宋_GB2312"/>
          <w:color w:val="000000" w:themeColor="text1"/>
          <w:spacing w:val="10"/>
          <w:sz w:val="32"/>
          <w:szCs w:val="32"/>
          <w14:textFill>
            <w14:solidFill>
              <w14:schemeClr w14:val="tx1"/>
            </w14:solidFill>
          </w14:textFill>
        </w:rPr>
        <w:t>雪茄烟专营零售点合理布局公示表》（附件4）。</w:t>
      </w:r>
    </w:p>
    <w:p w14:paraId="06AB9FA8">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000000" w:themeColor="text1"/>
          <w:spacing w:val="10"/>
          <w:sz w:val="32"/>
          <w:szCs w:val="32"/>
          <w14:textFill>
            <w14:solidFill>
              <w14:schemeClr w14:val="tx1"/>
            </w14:solidFill>
          </w14:textFill>
        </w:rPr>
        <w:t>取得雪茄烟本店零售许可的经营主体如需变更烟草专卖零售许可相关事项的，</w:t>
      </w:r>
      <w:r>
        <w:rPr>
          <w:rFonts w:hint="eastAsia" w:eastAsia="仿宋_GB2312"/>
          <w:color w:val="auto"/>
          <w:spacing w:val="10"/>
          <w:sz w:val="32"/>
          <w:szCs w:val="32"/>
        </w:rPr>
        <w:t>必须满足本规划及《云南省电子烟零售点布局规划》</w:t>
      </w:r>
      <w:r>
        <w:rPr>
          <w:rFonts w:hint="eastAsia" w:eastAsia="仿宋_GB2312"/>
          <w:color w:val="000000" w:themeColor="text1"/>
          <w:spacing w:val="10"/>
          <w:sz w:val="32"/>
          <w:szCs w:val="32"/>
          <w14:textFill>
            <w14:solidFill>
              <w14:schemeClr w14:val="tx1"/>
            </w14:solidFill>
          </w14:textFill>
        </w:rPr>
        <w:t>相关条件并按照有关规定办理。</w:t>
      </w:r>
    </w:p>
    <w:p w14:paraId="306C269B">
      <w:pPr>
        <w:rPr>
          <w:color w:val="000000" w:themeColor="text1"/>
          <w14:textFill>
            <w14:solidFill>
              <w14:schemeClr w14:val="tx1"/>
            </w14:solidFill>
          </w14:textFill>
        </w:rPr>
      </w:pPr>
    </w:p>
    <w:p w14:paraId="515F7FBA">
      <w:pPr>
        <w:pStyle w:val="9"/>
        <w:numPr>
          <w:ilvl w:val="0"/>
          <w:numId w:val="1"/>
        </w:numPr>
        <w:snapToGrid w:val="0"/>
        <w:spacing w:before="312" w:beforeLines="100" w:after="312" w:afterLines="100" w:line="360" w:lineRule="auto"/>
        <w:ind w:firstLine="640" w:firstLineChars="200"/>
        <w:textAlignment w:val="baseline"/>
        <w:rPr>
          <w:color w:val="000000" w:themeColor="text1"/>
          <w14:textFill>
            <w14:solidFill>
              <w14:schemeClr w14:val="tx1"/>
            </w14:solidFill>
          </w14:textFill>
        </w:rPr>
      </w:pPr>
      <w:r>
        <w:rPr>
          <w:rFonts w:hint="eastAsia" w:ascii="Times New Roman" w:hAnsi="Times New Roman" w:eastAsia="黑体"/>
          <w:color w:val="000000" w:themeColor="text1"/>
          <w:sz w:val="32"/>
          <w:szCs w:val="32"/>
          <w:lang w:val="en-US" w:eastAsia="zh-CN"/>
          <w14:textFill>
            <w14:solidFill>
              <w14:schemeClr w14:val="tx1"/>
            </w14:solidFill>
          </w14:textFill>
        </w:rPr>
        <w:t>放宽及限制情形</w:t>
      </w:r>
    </w:p>
    <w:p w14:paraId="4DA8A01D">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eastAsia="仿宋_GB2312"/>
          <w:color w:val="000000" w:themeColor="text1"/>
          <w:spacing w:val="10"/>
          <w:sz w:val="32"/>
          <w:szCs w:val="32"/>
          <w14:textFill>
            <w14:solidFill>
              <w14:schemeClr w14:val="tx1"/>
            </w14:solidFill>
          </w14:textFill>
        </w:rPr>
        <w:t>具有下列情形之一的，不予</w:t>
      </w:r>
      <w:r>
        <w:rPr>
          <w:rFonts w:hint="eastAsia" w:eastAsia="仿宋_GB2312"/>
          <w:color w:val="000000" w:themeColor="text1"/>
          <w:spacing w:val="10"/>
          <w:sz w:val="32"/>
          <w:szCs w:val="32"/>
          <w:lang w:val="en-US" w:eastAsia="zh-CN"/>
          <w14:textFill>
            <w14:solidFill>
              <w14:schemeClr w14:val="tx1"/>
            </w14:solidFill>
          </w14:textFill>
        </w:rPr>
        <w:t>发放烟草专卖零售许可证：</w:t>
      </w:r>
    </w:p>
    <w:p w14:paraId="4D85996A">
      <w:pPr>
        <w:numPr>
          <w:ilvl w:val="0"/>
          <w:numId w:val="0"/>
        </w:numPr>
        <w:adjustRightInd w:val="0"/>
        <w:snapToGrid w:val="0"/>
        <w:spacing w:line="360" w:lineRule="auto"/>
        <w:ind w:firstLine="640" w:firstLineChars="200"/>
        <w:textAlignment w:val="baseline"/>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（一）申请人为无民事行为能力人或者限制民事行为能力人的</w:t>
      </w:r>
      <w:r>
        <w:rPr>
          <w:rFonts w:hint="eastAsia" w:eastAsia="仿宋_GB2312"/>
          <w:color w:val="000000" w:themeColor="text1"/>
          <w:sz w:val="32"/>
          <w:szCs w:val="32"/>
          <w:lang w:eastAsia="zh-CN"/>
          <w14:textFill>
            <w14:solidFill>
              <w14:schemeClr w14:val="tx1"/>
            </w14:solidFill>
          </w14:textFill>
        </w:rPr>
        <w:t>；</w:t>
      </w:r>
    </w:p>
    <w:p w14:paraId="4497325E">
      <w:pPr>
        <w:numPr>
          <w:ilvl w:val="0"/>
          <w:numId w:val="0"/>
        </w:numPr>
        <w:adjustRightInd w:val="0"/>
        <w:snapToGrid w:val="0"/>
        <w:spacing w:line="360" w:lineRule="auto"/>
        <w:ind w:firstLine="640" w:firstLineChars="200"/>
        <w:textAlignment w:val="baseline"/>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（二）申请人隐瞒有关情况或提供虚假材料的；因隐瞒有关情况或者提供虚假材料，烟草专卖局作出不予受理或者不予发证决定后，申请人一年内再次提出申请的</w:t>
      </w:r>
      <w:r>
        <w:rPr>
          <w:rFonts w:hint="eastAsia" w:eastAsia="仿宋_GB2312"/>
          <w:color w:val="000000" w:themeColor="text1"/>
          <w:sz w:val="32"/>
          <w:szCs w:val="32"/>
          <w:lang w:eastAsia="zh-CN"/>
          <w14:textFill>
            <w14:solidFill>
              <w14:schemeClr w14:val="tx1"/>
            </w14:solidFill>
          </w14:textFill>
        </w:rPr>
        <w:t>；</w:t>
      </w:r>
    </w:p>
    <w:p w14:paraId="4BC30B61">
      <w:pPr>
        <w:numPr>
          <w:ilvl w:val="0"/>
          <w:numId w:val="0"/>
        </w:numPr>
        <w:adjustRightInd w:val="0"/>
        <w:snapToGrid w:val="0"/>
        <w:spacing w:line="360" w:lineRule="auto"/>
        <w:ind w:firstLine="640" w:firstLineChars="200"/>
        <w:textAlignment w:val="baseline"/>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r>
        <w:rPr>
          <w:rFonts w:hint="eastAsia" w:eastAsia="仿宋_GB2312"/>
          <w:color w:val="000000" w:themeColor="text1"/>
          <w:sz w:val="32"/>
          <w:szCs w:val="32"/>
          <w:lang w:eastAsia="zh-CN"/>
          <w14:textFill>
            <w14:solidFill>
              <w14:schemeClr w14:val="tx1"/>
            </w14:solidFill>
          </w14:textFill>
        </w:rPr>
        <w:t>；</w:t>
      </w:r>
    </w:p>
    <w:p w14:paraId="65641000">
      <w:pPr>
        <w:numPr>
          <w:ilvl w:val="0"/>
          <w:numId w:val="0"/>
        </w:numPr>
        <w:adjustRightInd w:val="0"/>
        <w:snapToGrid w:val="0"/>
        <w:spacing w:line="360" w:lineRule="auto"/>
        <w:ind w:firstLine="640" w:firstLineChars="200"/>
        <w:textAlignment w:val="baseline"/>
        <w:rPr>
          <w:rFonts w:hint="eastAsia" w:eastAsia="仿宋_GB2312"/>
          <w:sz w:val="32"/>
          <w:szCs w:val="32"/>
          <w:lang w:eastAsia="zh-CN"/>
        </w:rPr>
      </w:pPr>
      <w:r>
        <w:rPr>
          <w:rFonts w:hint="eastAsia" w:eastAsia="仿宋_GB2312"/>
          <w:color w:val="000000" w:themeColor="text1"/>
          <w:sz w:val="32"/>
          <w:szCs w:val="32"/>
          <w14:textFill>
            <w14:solidFill>
              <w14:schemeClr w14:val="tx1"/>
            </w14:solidFill>
          </w14:textFill>
        </w:rPr>
        <w:t>（四）外商投资的商业企业或者个体工商户，但有外资成分以提供住宿、餐饮、休闲、娱乐为主要经营的宾馆、酒店等属</w:t>
      </w:r>
      <w:r>
        <w:rPr>
          <w:rFonts w:hint="eastAsia" w:eastAsia="仿宋_GB2312"/>
          <w:sz w:val="32"/>
          <w:szCs w:val="32"/>
        </w:rPr>
        <w:t>于娱乐服务类的企业除外</w:t>
      </w:r>
      <w:r>
        <w:rPr>
          <w:rFonts w:hint="eastAsia" w:eastAsia="仿宋_GB2312"/>
          <w:sz w:val="32"/>
          <w:szCs w:val="32"/>
          <w:lang w:eastAsia="zh-CN"/>
        </w:rPr>
        <w:t>；</w:t>
      </w:r>
    </w:p>
    <w:p w14:paraId="5AFE6C2C">
      <w:pPr>
        <w:numPr>
          <w:ilvl w:val="0"/>
          <w:numId w:val="0"/>
        </w:numPr>
        <w:adjustRightInd w:val="0"/>
        <w:snapToGrid w:val="0"/>
        <w:spacing w:line="360" w:lineRule="auto"/>
        <w:ind w:firstLine="640" w:firstLineChars="200"/>
        <w:textAlignment w:val="baseline"/>
        <w:rPr>
          <w:rFonts w:hint="eastAsia" w:eastAsia="仿宋_GB2312"/>
          <w:sz w:val="32"/>
          <w:szCs w:val="32"/>
        </w:rPr>
      </w:pPr>
      <w:r>
        <w:rPr>
          <w:rFonts w:hint="eastAsia" w:eastAsia="仿宋_GB2312"/>
          <w:sz w:val="32"/>
          <w:szCs w:val="32"/>
        </w:rPr>
        <w:t>（五）无固定经营场所的：包括但不限于流动的摊、点、车、棚、简易板房、活动板房（彩钢房）、临时占道的建筑等；</w:t>
      </w:r>
    </w:p>
    <w:p w14:paraId="2D1552EB">
      <w:pPr>
        <w:numPr>
          <w:ilvl w:val="0"/>
          <w:numId w:val="0"/>
        </w:numPr>
        <w:adjustRightInd w:val="0"/>
        <w:snapToGrid w:val="0"/>
        <w:spacing w:line="360" w:lineRule="auto"/>
        <w:ind w:firstLine="640" w:firstLineChars="200"/>
        <w:textAlignment w:val="baseline"/>
        <w:rPr>
          <w:rFonts w:hint="eastAsia" w:eastAsia="仿宋_GB2312"/>
          <w:sz w:val="32"/>
          <w:szCs w:val="32"/>
        </w:rPr>
      </w:pPr>
      <w:r>
        <w:rPr>
          <w:rFonts w:hint="eastAsia" w:eastAsia="仿宋_GB2312"/>
          <w:sz w:val="32"/>
          <w:szCs w:val="32"/>
        </w:rPr>
        <w:t>（六）经营场所与住所不相独立的：包括但不限于经营场所为</w:t>
      </w:r>
      <w:r>
        <w:rPr>
          <w:rFonts w:hint="eastAsia" w:eastAsia="仿宋_GB2312"/>
          <w:sz w:val="32"/>
          <w:szCs w:val="32"/>
          <w:lang w:val="en-US" w:eastAsia="zh-CN"/>
        </w:rPr>
        <w:t>与</w:t>
      </w:r>
      <w:r>
        <w:rPr>
          <w:rFonts w:hint="eastAsia" w:eastAsia="仿宋_GB2312"/>
          <w:sz w:val="32"/>
          <w:szCs w:val="32"/>
        </w:rPr>
        <w:t>住所</w:t>
      </w:r>
      <w:r>
        <w:rPr>
          <w:rFonts w:hint="eastAsia" w:eastAsia="仿宋_GB2312"/>
          <w:sz w:val="32"/>
          <w:szCs w:val="32"/>
          <w:lang w:val="en-US" w:eastAsia="zh-CN"/>
        </w:rPr>
        <w:t>可连通通行</w:t>
      </w:r>
      <w:r>
        <w:rPr>
          <w:rFonts w:hint="eastAsia" w:eastAsia="仿宋_GB2312"/>
          <w:sz w:val="32"/>
          <w:szCs w:val="32"/>
        </w:rPr>
        <w:t>的客厅、餐厅、卧室、阳台、地下室、车库、储藏室等或居民楼内公用</w:t>
      </w:r>
      <w:r>
        <w:rPr>
          <w:rFonts w:hint="eastAsia" w:eastAsia="仿宋_GB2312"/>
          <w:sz w:val="32"/>
          <w:szCs w:val="32"/>
          <w:lang w:val="en-US" w:eastAsia="zh-CN"/>
        </w:rPr>
        <w:t>通</w:t>
      </w:r>
      <w:r>
        <w:rPr>
          <w:rFonts w:hint="eastAsia" w:eastAsia="仿宋_GB2312"/>
          <w:sz w:val="32"/>
          <w:szCs w:val="32"/>
        </w:rPr>
        <w:t>道、楼梯间等；</w:t>
      </w:r>
    </w:p>
    <w:p w14:paraId="30C93C0E">
      <w:pPr>
        <w:numPr>
          <w:ilvl w:val="0"/>
          <w:numId w:val="0"/>
        </w:numPr>
        <w:adjustRightInd w:val="0"/>
        <w:snapToGrid w:val="0"/>
        <w:spacing w:line="360" w:lineRule="auto"/>
        <w:ind w:firstLine="640" w:firstLineChars="200"/>
        <w:textAlignment w:val="baseline"/>
        <w:rPr>
          <w:rFonts w:hint="eastAsia" w:eastAsia="仿宋_GB2312"/>
          <w:sz w:val="32"/>
          <w:szCs w:val="32"/>
          <w:lang w:val="en-US" w:eastAsia="zh-CN"/>
        </w:rPr>
      </w:pPr>
      <w:r>
        <w:rPr>
          <w:rFonts w:hint="eastAsia" w:eastAsia="仿宋_GB2312"/>
          <w:sz w:val="32"/>
          <w:szCs w:val="32"/>
          <w:lang w:eastAsia="zh-CN"/>
        </w:rPr>
        <w:t>（</w:t>
      </w:r>
      <w:r>
        <w:rPr>
          <w:rFonts w:hint="eastAsia" w:eastAsia="仿宋_GB2312"/>
          <w:sz w:val="32"/>
          <w:szCs w:val="32"/>
          <w:lang w:val="en-US" w:eastAsia="zh-CN"/>
        </w:rPr>
        <w:t>七</w:t>
      </w:r>
      <w:r>
        <w:rPr>
          <w:rFonts w:hint="eastAsia" w:eastAsia="仿宋_GB2312"/>
          <w:sz w:val="32"/>
          <w:szCs w:val="32"/>
          <w:lang w:eastAsia="zh-CN"/>
        </w:rPr>
        <w:t>）</w:t>
      </w:r>
      <w:r>
        <w:rPr>
          <w:rFonts w:hint="eastAsia" w:eastAsia="仿宋_GB2312"/>
          <w:sz w:val="32"/>
          <w:szCs w:val="32"/>
        </w:rPr>
        <w:t>经营场所已经办理了仍在有效期内的烟草专卖零售许可证的</w:t>
      </w:r>
      <w:r>
        <w:rPr>
          <w:rFonts w:hint="eastAsia" w:eastAsia="仿宋_GB2312"/>
          <w:sz w:val="32"/>
          <w:szCs w:val="32"/>
          <w:lang w:eastAsia="zh-CN"/>
        </w:rPr>
        <w:t>；</w:t>
      </w:r>
      <w:r>
        <w:rPr>
          <w:rFonts w:hint="eastAsia" w:eastAsia="仿宋_GB2312"/>
          <w:sz w:val="32"/>
          <w:szCs w:val="32"/>
        </w:rPr>
        <w:t>经营场所位于党政机关内部的</w:t>
      </w:r>
      <w:r>
        <w:rPr>
          <w:rFonts w:hint="eastAsia" w:eastAsia="仿宋_GB2312"/>
          <w:sz w:val="32"/>
          <w:szCs w:val="32"/>
          <w:lang w:eastAsia="zh-CN"/>
        </w:rPr>
        <w:t>；</w:t>
      </w:r>
      <w:r>
        <w:rPr>
          <w:rFonts w:hint="eastAsia" w:eastAsia="仿宋_GB2312"/>
          <w:sz w:val="32"/>
          <w:szCs w:val="32"/>
        </w:rPr>
        <w:t>经营场所基于安全因素不适宜经营卷烟的</w:t>
      </w:r>
      <w:r>
        <w:rPr>
          <w:rFonts w:hint="eastAsia" w:eastAsia="仿宋_GB2312"/>
          <w:sz w:val="32"/>
          <w:szCs w:val="32"/>
          <w:lang w:eastAsia="zh-CN"/>
        </w:rPr>
        <w:t>；</w:t>
      </w:r>
    </w:p>
    <w:p w14:paraId="52AEB324">
      <w:pPr>
        <w:numPr>
          <w:ilvl w:val="0"/>
          <w:numId w:val="0"/>
        </w:numPr>
        <w:adjustRightInd w:val="0"/>
        <w:snapToGrid w:val="0"/>
        <w:spacing w:line="360" w:lineRule="auto"/>
        <w:ind w:firstLine="640" w:firstLineChars="200"/>
        <w:textAlignment w:val="baseline"/>
        <w:rPr>
          <w:rFonts w:hint="eastAsia" w:eastAsia="仿宋_GB2312"/>
          <w:color w:val="auto"/>
          <w:sz w:val="32"/>
          <w:szCs w:val="32"/>
          <w:lang w:val="en-US" w:eastAsia="zh-CN"/>
        </w:rPr>
      </w:pPr>
      <w:r>
        <w:rPr>
          <w:rFonts w:hint="eastAsia" w:eastAsia="仿宋_GB2312"/>
          <w:color w:val="auto"/>
          <w:sz w:val="32"/>
          <w:szCs w:val="32"/>
        </w:rPr>
        <w:t>（</w:t>
      </w:r>
      <w:r>
        <w:rPr>
          <w:rFonts w:hint="eastAsia" w:eastAsia="仿宋_GB2312"/>
          <w:color w:val="auto"/>
          <w:sz w:val="32"/>
          <w:szCs w:val="32"/>
          <w:lang w:val="en-US" w:eastAsia="zh-CN"/>
        </w:rPr>
        <w:t>八</w:t>
      </w:r>
      <w:r>
        <w:rPr>
          <w:rFonts w:hint="eastAsia" w:eastAsia="仿宋_GB2312"/>
          <w:color w:val="auto"/>
          <w:sz w:val="32"/>
          <w:szCs w:val="32"/>
        </w:rPr>
        <w:t>）</w:t>
      </w:r>
      <w:r>
        <w:rPr>
          <w:rFonts w:hint="eastAsia" w:eastAsia="仿宋_GB2312"/>
          <w:color w:val="auto"/>
          <w:sz w:val="32"/>
          <w:szCs w:val="32"/>
          <w:lang w:val="en-US" w:eastAsia="zh-CN"/>
        </w:rPr>
        <w:t>澧江街道、红河街道中小学、幼儿园学生正常出入的校门口（含通道）50米以内，其余乡镇（街道）及乡镇（街道）以下区域中小学、幼儿园学生正常出入的校门口（含通道）30米以内；</w:t>
      </w:r>
    </w:p>
    <w:p w14:paraId="369FBCBE">
      <w:pPr>
        <w:numPr>
          <w:ilvl w:val="0"/>
          <w:numId w:val="0"/>
        </w:numPr>
        <w:adjustRightInd w:val="0"/>
        <w:snapToGrid w:val="0"/>
        <w:spacing w:line="360" w:lineRule="auto"/>
        <w:ind w:firstLine="640" w:firstLineChars="200"/>
        <w:textAlignment w:val="baseline"/>
        <w:rPr>
          <w:rFonts w:hint="eastAsia" w:eastAsia="仿宋_GB2312"/>
          <w:color w:val="auto"/>
          <w:sz w:val="32"/>
          <w:szCs w:val="32"/>
          <w:lang w:eastAsia="zh-CN"/>
        </w:rPr>
      </w:pPr>
      <w:r>
        <w:rPr>
          <w:rFonts w:hint="eastAsia" w:eastAsia="仿宋_GB2312"/>
          <w:sz w:val="32"/>
          <w:szCs w:val="32"/>
        </w:rPr>
        <w:t>（</w:t>
      </w:r>
      <w:r>
        <w:rPr>
          <w:rFonts w:hint="eastAsia" w:eastAsia="仿宋_GB2312"/>
          <w:sz w:val="32"/>
          <w:szCs w:val="32"/>
          <w:lang w:val="en-US" w:eastAsia="zh-CN"/>
        </w:rPr>
        <w:t>九</w:t>
      </w:r>
      <w:r>
        <w:rPr>
          <w:rFonts w:hint="eastAsia" w:eastAsia="仿宋_GB2312"/>
          <w:sz w:val="32"/>
          <w:szCs w:val="32"/>
        </w:rPr>
        <w:t>）利用自动售货机或者其他自动售货形式，销售或者变相</w:t>
      </w:r>
      <w:r>
        <w:rPr>
          <w:rFonts w:hint="eastAsia" w:eastAsia="仿宋_GB2312"/>
          <w:color w:val="auto"/>
          <w:sz w:val="32"/>
          <w:szCs w:val="32"/>
        </w:rPr>
        <w:t>销售烟草制品的，或者通过信息网络销售烟草专卖品的</w:t>
      </w:r>
      <w:r>
        <w:rPr>
          <w:rFonts w:hint="eastAsia" w:eastAsia="仿宋_GB2312"/>
          <w:color w:val="auto"/>
          <w:sz w:val="32"/>
          <w:szCs w:val="32"/>
          <w:lang w:eastAsia="zh-CN"/>
        </w:rPr>
        <w:t>；</w:t>
      </w:r>
    </w:p>
    <w:p w14:paraId="6E924C7E">
      <w:pPr>
        <w:numPr>
          <w:ilvl w:val="0"/>
          <w:numId w:val="0"/>
        </w:numPr>
        <w:adjustRightInd w:val="0"/>
        <w:snapToGrid w:val="0"/>
        <w:spacing w:line="360" w:lineRule="auto"/>
        <w:ind w:firstLine="640" w:firstLineChars="200"/>
        <w:textAlignment w:val="baseline"/>
        <w:rPr>
          <w:rFonts w:hint="eastAsia" w:eastAsia="宋体"/>
          <w:color w:val="auto"/>
          <w:sz w:val="32"/>
          <w:szCs w:val="32"/>
          <w:lang w:eastAsia="zh-CN"/>
        </w:rPr>
      </w:pPr>
      <w:r>
        <w:rPr>
          <w:rFonts w:hint="eastAsia" w:eastAsia="仿宋_GB2312"/>
          <w:color w:val="auto"/>
          <w:sz w:val="32"/>
          <w:szCs w:val="32"/>
        </w:rPr>
        <w:t>（十）</w:t>
      </w:r>
      <w:r>
        <w:rPr>
          <w:rFonts w:hint="eastAsia" w:ascii="仿宋_GB2312" w:hAnsi="仿宋_GB2312" w:eastAsia="仿宋_GB2312" w:cs="仿宋_GB2312"/>
          <w:color w:val="auto"/>
          <w:sz w:val="32"/>
          <w:szCs w:val="32"/>
        </w:rPr>
        <w:t>经营业态存在容易诱导未成年人关注、购买、吸食卷烟或其他不利于未成年人保护的</w:t>
      </w:r>
      <w:r>
        <w:rPr>
          <w:rFonts w:hint="eastAsia" w:ascii="仿宋_GB2312" w:hAnsi="仿宋_GB2312" w:eastAsia="仿宋_GB2312" w:cs="仿宋_GB2312"/>
          <w:color w:val="auto"/>
          <w:sz w:val="32"/>
          <w:szCs w:val="32"/>
          <w:lang w:eastAsia="zh-CN"/>
        </w:rPr>
        <w:t>；</w:t>
      </w:r>
    </w:p>
    <w:p w14:paraId="40A6DD68">
      <w:pPr>
        <w:numPr>
          <w:ilvl w:val="0"/>
          <w:numId w:val="0"/>
        </w:numPr>
        <w:adjustRightInd w:val="0"/>
        <w:snapToGrid w:val="0"/>
        <w:spacing w:line="360" w:lineRule="auto"/>
        <w:ind w:firstLine="640" w:firstLineChars="200"/>
        <w:textAlignment w:val="baseline"/>
        <w:rPr>
          <w:rFonts w:hint="eastAsia" w:eastAsia="仿宋_GB2312"/>
          <w:sz w:val="32"/>
          <w:szCs w:val="32"/>
        </w:rPr>
      </w:pPr>
      <w:r>
        <w:rPr>
          <w:rFonts w:hint="eastAsia" w:eastAsia="仿宋_GB2312"/>
          <w:sz w:val="32"/>
          <w:szCs w:val="32"/>
        </w:rPr>
        <w:t>（十</w:t>
      </w:r>
      <w:r>
        <w:rPr>
          <w:rFonts w:hint="eastAsia" w:eastAsia="仿宋_GB2312"/>
          <w:sz w:val="32"/>
          <w:szCs w:val="32"/>
          <w:lang w:val="en-US" w:eastAsia="zh-CN"/>
        </w:rPr>
        <w:t>一</w:t>
      </w:r>
      <w:r>
        <w:rPr>
          <w:rFonts w:hint="eastAsia" w:eastAsia="仿宋_GB2312"/>
          <w:sz w:val="32"/>
          <w:szCs w:val="32"/>
        </w:rPr>
        <w:t>）法律、法规、规章、规范性文件等规定的其他不予许可的情形。</w:t>
      </w:r>
    </w:p>
    <w:p w14:paraId="230288A1">
      <w:pPr>
        <w:numPr>
          <w:ilvl w:val="2"/>
          <w:numId w:val="2"/>
        </w:numPr>
        <w:adjustRightInd w:val="0"/>
        <w:snapToGrid w:val="0"/>
        <w:spacing w:line="360" w:lineRule="auto"/>
        <w:ind w:left="-50" w:leftChars="0" w:firstLine="680" w:firstLineChars="0"/>
        <w:jc w:val="both"/>
        <w:textAlignment w:val="baseline"/>
        <w:rPr>
          <w:rFonts w:hint="eastAsia" w:eastAsia="仿宋_GB2312"/>
          <w:spacing w:val="10"/>
          <w:sz w:val="32"/>
          <w:szCs w:val="32"/>
        </w:rPr>
      </w:pPr>
      <w:r>
        <w:rPr>
          <w:rFonts w:hint="eastAsia" w:eastAsia="仿宋_GB2312"/>
          <w:spacing w:val="10"/>
          <w:sz w:val="32"/>
          <w:szCs w:val="32"/>
        </w:rPr>
        <w:t>优抚对象、社会弱势群体等特殊群体申请烟草专卖零售许可证的，受所在单元网格规划数限制，零售点间距可放宽至本单元网格间距标准的</w:t>
      </w:r>
      <w:r>
        <w:rPr>
          <w:rFonts w:hint="eastAsia" w:eastAsia="仿宋_GB2312"/>
          <w:spacing w:val="10"/>
          <w:sz w:val="32"/>
          <w:szCs w:val="32"/>
          <w:lang w:val="en-US" w:eastAsia="zh-CN"/>
        </w:rPr>
        <w:t>80%</w:t>
      </w:r>
      <w:r>
        <w:rPr>
          <w:rFonts w:hint="eastAsia" w:eastAsia="仿宋_GB2312"/>
          <w:spacing w:val="10"/>
          <w:sz w:val="32"/>
          <w:szCs w:val="32"/>
        </w:rPr>
        <w:t>执行。本规定政策，同一特殊群体申请人在云南省内仅适用一次。</w:t>
      </w:r>
    </w:p>
    <w:p w14:paraId="35E767D1">
      <w:pPr>
        <w:numPr>
          <w:ilvl w:val="0"/>
          <w:numId w:val="0"/>
        </w:numPr>
        <w:adjustRightInd w:val="0"/>
        <w:snapToGrid w:val="0"/>
        <w:spacing w:line="360" w:lineRule="auto"/>
        <w:ind w:left="630" w:leftChars="0"/>
        <w:jc w:val="both"/>
        <w:textAlignment w:val="baseline"/>
        <w:rPr>
          <w:rFonts w:hint="eastAsia" w:eastAsia="仿宋_GB2312"/>
          <w:color w:val="auto"/>
          <w:spacing w:val="10"/>
          <w:sz w:val="32"/>
          <w:szCs w:val="32"/>
        </w:rPr>
      </w:pPr>
      <w:r>
        <w:rPr>
          <w:rFonts w:hint="eastAsia" w:eastAsia="仿宋_GB2312"/>
          <w:spacing w:val="10"/>
          <w:sz w:val="32"/>
          <w:szCs w:val="32"/>
        </w:rPr>
        <w:t>本条所称优抚对</w:t>
      </w:r>
      <w:r>
        <w:rPr>
          <w:rFonts w:hint="eastAsia" w:eastAsia="仿宋_GB2312"/>
          <w:color w:val="auto"/>
          <w:spacing w:val="10"/>
          <w:sz w:val="32"/>
          <w:szCs w:val="32"/>
        </w:rPr>
        <w:t>象、社会弱势群体是指：</w:t>
      </w:r>
    </w:p>
    <w:p w14:paraId="37B3600C">
      <w:pPr>
        <w:pStyle w:val="10"/>
        <w:keepNext w:val="0"/>
        <w:keepLines w:val="0"/>
        <w:widowControl/>
        <w:suppressLineNumbers w:val="0"/>
        <w:ind w:firstLine="680" w:firstLineChars="200"/>
        <w:rPr>
          <w:rFonts w:hint="eastAsia" w:eastAsia="仿宋_GB2312"/>
          <w:spacing w:val="10"/>
          <w:sz w:val="32"/>
          <w:szCs w:val="32"/>
        </w:rPr>
      </w:pP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一</w:t>
      </w:r>
      <w:r>
        <w:rPr>
          <w:rFonts w:hint="eastAsia" w:eastAsia="仿宋_GB2312"/>
          <w:color w:val="auto"/>
          <w:spacing w:val="10"/>
          <w:sz w:val="32"/>
          <w:szCs w:val="32"/>
          <w:lang w:eastAsia="zh-CN"/>
        </w:rPr>
        <w:t>）</w:t>
      </w:r>
      <w:r>
        <w:rPr>
          <w:rFonts w:hint="eastAsia" w:eastAsia="仿宋_GB2312"/>
          <w:color w:val="auto"/>
          <w:spacing w:val="10"/>
          <w:sz w:val="32"/>
          <w:szCs w:val="32"/>
        </w:rPr>
        <w:t>烈士家属、因公牺牲军人家属；</w:t>
      </w:r>
      <w:r>
        <w:rPr>
          <w:rFonts w:ascii="仿宋_GB2312" w:eastAsia="仿宋_GB2312" w:cs="仿宋_GB2312"/>
          <w:color w:val="auto"/>
          <w:sz w:val="31"/>
          <w:szCs w:val="31"/>
        </w:rPr>
        <w:t>病故军人遗属</w:t>
      </w:r>
      <w:r>
        <w:rPr>
          <w:rFonts w:hint="eastAsia" w:eastAsia="仿宋_GB2312"/>
          <w:color w:val="auto"/>
          <w:spacing w:val="10"/>
          <w:sz w:val="32"/>
          <w:szCs w:val="32"/>
          <w:lang w:eastAsia="zh-CN"/>
        </w:rPr>
        <w:t>；</w:t>
      </w:r>
      <w:r>
        <w:rPr>
          <w:rFonts w:hint="eastAsia" w:eastAsia="仿宋_GB2312"/>
          <w:color w:val="auto"/>
          <w:spacing w:val="10"/>
          <w:sz w:val="32"/>
          <w:szCs w:val="32"/>
        </w:rPr>
        <w:t>见义勇为牺牲人员家属。（本条中的家属</w:t>
      </w:r>
      <w:r>
        <w:rPr>
          <w:rFonts w:hint="eastAsia" w:eastAsia="仿宋_GB2312"/>
          <w:color w:val="auto"/>
          <w:spacing w:val="10"/>
          <w:sz w:val="32"/>
          <w:szCs w:val="32"/>
          <w:lang w:eastAsia="zh-CN"/>
        </w:rPr>
        <w:t>、</w:t>
      </w:r>
      <w:r>
        <w:rPr>
          <w:rFonts w:ascii="仿宋_GB2312" w:eastAsia="仿宋_GB2312" w:cs="仿宋_GB2312"/>
          <w:color w:val="auto"/>
          <w:sz w:val="31"/>
          <w:szCs w:val="31"/>
        </w:rPr>
        <w:t>遗属</w:t>
      </w:r>
      <w:r>
        <w:rPr>
          <w:rFonts w:hint="eastAsia" w:eastAsia="仿宋_GB2312"/>
          <w:spacing w:val="10"/>
          <w:sz w:val="32"/>
          <w:szCs w:val="32"/>
        </w:rPr>
        <w:t>包括父母、子女、配偶。）</w:t>
      </w:r>
    </w:p>
    <w:p w14:paraId="73F6FE57">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二</w:t>
      </w:r>
      <w:r>
        <w:rPr>
          <w:rFonts w:hint="eastAsia" w:eastAsia="仿宋_GB2312"/>
          <w:spacing w:val="10"/>
          <w:sz w:val="32"/>
          <w:szCs w:val="32"/>
          <w:lang w:eastAsia="zh-CN"/>
        </w:rPr>
        <w:t>）</w:t>
      </w:r>
      <w:r>
        <w:rPr>
          <w:rFonts w:hint="eastAsia" w:eastAsia="仿宋_GB2312"/>
          <w:spacing w:val="10"/>
          <w:sz w:val="32"/>
          <w:szCs w:val="32"/>
        </w:rPr>
        <w:t>符合以下条件之一，具有从事烟草专卖零售经营业务相应能力，且具有完全民事行为能力的残疾人：</w:t>
      </w:r>
    </w:p>
    <w:p w14:paraId="46406943">
      <w:pPr>
        <w:numPr>
          <w:ilvl w:val="-1"/>
          <w:numId w:val="0"/>
        </w:numPr>
        <w:adjustRightInd w:val="0"/>
        <w:snapToGrid w:val="0"/>
        <w:spacing w:line="360" w:lineRule="auto"/>
        <w:ind w:leftChars="0" w:firstLine="700" w:firstLineChars="200"/>
        <w:jc w:val="both"/>
        <w:textAlignment w:val="baseline"/>
        <w:rPr>
          <w:rFonts w:hint="eastAsia" w:eastAsia="仿宋_GB2312"/>
          <w:spacing w:val="10"/>
          <w:sz w:val="32"/>
          <w:szCs w:val="32"/>
          <w:lang w:eastAsia="zh-CN"/>
        </w:rPr>
      </w:pPr>
      <w:r>
        <w:rPr>
          <w:rFonts w:hint="eastAsia" w:ascii="仿宋_GB2312" w:hAnsi="仿宋_GB2312" w:eastAsia="仿宋_GB2312" w:cs="仿宋_GB2312"/>
          <w:spacing w:val="15"/>
          <w:sz w:val="32"/>
          <w:szCs w:val="32"/>
        </w:rPr>
        <w:t>视力残疾：一级</w:t>
      </w:r>
      <w:r>
        <w:rPr>
          <w:rFonts w:hint="eastAsia" w:ascii="仿宋_GB2312" w:hAnsi="仿宋_GB2312" w:eastAsia="仿宋_GB2312" w:cs="仿宋_GB2312"/>
          <w:color w:val="auto"/>
          <w:spacing w:val="15"/>
          <w:sz w:val="32"/>
          <w:szCs w:val="32"/>
          <w:lang w:eastAsia="zh-CN"/>
        </w:rPr>
        <w:t>盲</w:t>
      </w:r>
      <w:r>
        <w:rPr>
          <w:rFonts w:hint="eastAsia" w:ascii="仿宋_GB2312" w:hAnsi="仿宋_GB2312" w:eastAsia="仿宋_GB2312" w:cs="仿宋_GB2312"/>
          <w:color w:val="auto"/>
          <w:spacing w:val="15"/>
          <w:sz w:val="32"/>
          <w:szCs w:val="32"/>
        </w:rPr>
        <w:t>、二级</w:t>
      </w:r>
      <w:r>
        <w:rPr>
          <w:rFonts w:hint="eastAsia" w:ascii="仿宋_GB2312" w:hAnsi="仿宋_GB2312" w:eastAsia="仿宋_GB2312" w:cs="仿宋_GB2312"/>
          <w:color w:val="auto"/>
          <w:spacing w:val="15"/>
          <w:sz w:val="32"/>
          <w:szCs w:val="32"/>
          <w:lang w:eastAsia="zh-CN"/>
        </w:rPr>
        <w:t>盲</w:t>
      </w:r>
      <w:r>
        <w:rPr>
          <w:rFonts w:hint="eastAsia" w:eastAsia="仿宋_GB2312"/>
          <w:spacing w:val="10"/>
          <w:sz w:val="32"/>
          <w:szCs w:val="32"/>
          <w:lang w:eastAsia="zh-CN"/>
        </w:rPr>
        <w:t>；</w:t>
      </w:r>
    </w:p>
    <w:p w14:paraId="44522881">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rPr>
        <w:t>听力残疾：一级、二级；</w:t>
      </w:r>
    </w:p>
    <w:p w14:paraId="488BA814">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rPr>
        <w:t>言语残疾：一级、二级；</w:t>
      </w:r>
    </w:p>
    <w:p w14:paraId="272FA3D7">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rPr>
        <w:t>肢体残疾：一级、二级。</w:t>
      </w:r>
    </w:p>
    <w:p w14:paraId="6E7873C3">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三</w:t>
      </w:r>
      <w:r>
        <w:rPr>
          <w:rFonts w:hint="eastAsia" w:eastAsia="仿宋_GB2312"/>
          <w:spacing w:val="10"/>
          <w:sz w:val="32"/>
          <w:szCs w:val="32"/>
          <w:lang w:eastAsia="zh-CN"/>
        </w:rPr>
        <w:t>）</w:t>
      </w:r>
      <w:r>
        <w:rPr>
          <w:rFonts w:hint="eastAsia" w:eastAsia="仿宋_GB2312"/>
          <w:spacing w:val="10"/>
          <w:sz w:val="32"/>
          <w:szCs w:val="32"/>
        </w:rPr>
        <w:t>国家明文给予政策扶持，确实具有需要扶持照顾的</w:t>
      </w:r>
      <w:r>
        <w:rPr>
          <w:rFonts w:hint="eastAsia" w:eastAsia="仿宋_GB2312"/>
          <w:spacing w:val="10"/>
          <w:sz w:val="32"/>
          <w:szCs w:val="32"/>
          <w:lang w:val="en-US" w:eastAsia="zh-CN"/>
        </w:rPr>
        <w:t>其他</w:t>
      </w:r>
      <w:r>
        <w:rPr>
          <w:rFonts w:hint="eastAsia" w:eastAsia="仿宋_GB2312"/>
          <w:spacing w:val="10"/>
          <w:sz w:val="32"/>
          <w:szCs w:val="32"/>
        </w:rPr>
        <w:t>特殊情况的优抚对象，经</w:t>
      </w:r>
      <w:r>
        <w:rPr>
          <w:rFonts w:hint="eastAsia" w:eastAsia="仿宋_GB2312"/>
          <w:spacing w:val="10"/>
          <w:sz w:val="32"/>
          <w:szCs w:val="32"/>
          <w:lang w:val="en-US" w:eastAsia="zh-CN"/>
        </w:rPr>
        <w:t>元江县</w:t>
      </w:r>
      <w:r>
        <w:rPr>
          <w:rFonts w:hint="eastAsia" w:eastAsia="仿宋_GB2312"/>
          <w:spacing w:val="10"/>
          <w:sz w:val="32"/>
          <w:szCs w:val="32"/>
        </w:rPr>
        <w:t>烟草专卖局集体研究并向</w:t>
      </w:r>
      <w:r>
        <w:rPr>
          <w:rFonts w:hint="eastAsia" w:eastAsia="仿宋_GB2312"/>
          <w:spacing w:val="10"/>
          <w:sz w:val="32"/>
          <w:szCs w:val="32"/>
          <w:lang w:val="en-US" w:eastAsia="zh-CN"/>
        </w:rPr>
        <w:t>玉溪市</w:t>
      </w:r>
      <w:r>
        <w:rPr>
          <w:rFonts w:hint="eastAsia" w:eastAsia="仿宋_GB2312"/>
          <w:spacing w:val="10"/>
          <w:sz w:val="32"/>
          <w:szCs w:val="32"/>
        </w:rPr>
        <w:t>烟草专卖局报备，可以放宽办证条件。申请人应提交合法有效的证明文件。</w:t>
      </w:r>
    </w:p>
    <w:p w14:paraId="6907109E">
      <w:pPr>
        <w:numPr>
          <w:ilvl w:val="2"/>
          <w:numId w:val="2"/>
        </w:numPr>
        <w:adjustRightInd w:val="0"/>
        <w:snapToGrid w:val="0"/>
        <w:spacing w:line="360" w:lineRule="auto"/>
        <w:ind w:left="-50" w:leftChars="0" w:firstLine="680" w:firstLineChars="0"/>
        <w:jc w:val="both"/>
        <w:textAlignment w:val="baseline"/>
        <w:rPr>
          <w:rFonts w:hint="eastAsia" w:ascii="仿宋_GB2312" w:hAnsi="仿宋_GB2312" w:eastAsia="仿宋_GB2312" w:cs="仿宋_GB2312"/>
          <w:color w:val="auto"/>
          <w:spacing w:val="-3"/>
          <w:sz w:val="32"/>
          <w:szCs w:val="32"/>
        </w:rPr>
      </w:pPr>
      <w:r>
        <w:rPr>
          <w:rFonts w:hint="eastAsia" w:ascii="Times New Roman" w:hAnsi="Times New Roman" w:eastAsia="仿宋_GB2312" w:cs="Times New Roman"/>
          <w:color w:val="auto"/>
          <w:spacing w:val="10"/>
          <w:sz w:val="32"/>
          <w:szCs w:val="32"/>
          <w:lang w:val="en-US" w:eastAsia="zh-CN"/>
        </w:rPr>
        <w:t>因道路规划、城市建设等客观原因，造成持证人无法在原核定地址经营，持证人申请变更到本单元网格内新址经营的，不受所在单元网格规划数限制，零售点间距可放宽至本单元网格间距标准的40%执行</w:t>
      </w:r>
      <w:r>
        <w:rPr>
          <w:rFonts w:hint="eastAsia" w:ascii="仿宋_GB2312" w:hAnsi="仿宋_GB2312" w:eastAsia="仿宋_GB2312" w:cs="仿宋_GB2312"/>
          <w:color w:val="auto"/>
          <w:spacing w:val="10"/>
          <w:sz w:val="32"/>
          <w:szCs w:val="32"/>
        </w:rPr>
        <w:t>。</w:t>
      </w:r>
    </w:p>
    <w:p w14:paraId="7D4BB8D6">
      <w:pPr>
        <w:numPr>
          <w:ilvl w:val="0"/>
          <w:numId w:val="0"/>
        </w:numPr>
        <w:adjustRightInd w:val="0"/>
        <w:snapToGrid w:val="0"/>
        <w:spacing w:line="360" w:lineRule="auto"/>
        <w:ind w:firstLine="680" w:firstLineChars="200"/>
        <w:jc w:val="both"/>
        <w:textAlignment w:val="baseline"/>
        <w:rPr>
          <w:rFonts w:eastAsia="仿宋_GB2312"/>
          <w:color w:val="auto"/>
          <w:spacing w:val="-3"/>
          <w:sz w:val="32"/>
          <w:szCs w:val="32"/>
        </w:rPr>
      </w:pPr>
      <w:r>
        <w:rPr>
          <w:rFonts w:hint="eastAsia" w:ascii="Times New Roman" w:hAnsi="Times New Roman" w:eastAsia="仿宋_GB2312" w:cs="Times New Roman"/>
          <w:color w:val="auto"/>
          <w:spacing w:val="10"/>
          <w:sz w:val="32"/>
          <w:szCs w:val="32"/>
          <w:lang w:val="en-US" w:eastAsia="zh-CN"/>
        </w:rPr>
        <w:t>申请变更到元江县其他单元网格的，受所在单元网格规划数限制，零售点间距可放宽至本单元网格间距标准的80%执行</w:t>
      </w:r>
      <w:r>
        <w:rPr>
          <w:rFonts w:eastAsia="仿宋_GB2312"/>
          <w:color w:val="auto"/>
          <w:spacing w:val="10"/>
          <w:sz w:val="32"/>
          <w:szCs w:val="32"/>
        </w:rPr>
        <w:t>。</w:t>
      </w:r>
    </w:p>
    <w:p w14:paraId="6AB8F247">
      <w:pPr>
        <w:numPr>
          <w:ilvl w:val="2"/>
          <w:numId w:val="2"/>
        </w:numPr>
        <w:adjustRightInd w:val="0"/>
        <w:snapToGrid w:val="0"/>
        <w:spacing w:line="360" w:lineRule="auto"/>
        <w:ind w:left="-50" w:leftChars="0" w:firstLine="680" w:firstLineChars="0"/>
        <w:jc w:val="both"/>
        <w:textAlignment w:val="baseline"/>
        <w:rPr>
          <w:rFonts w:eastAsia="仿宋_GB2312"/>
          <w:color w:val="auto"/>
          <w:spacing w:val="-3"/>
          <w:sz w:val="32"/>
          <w:szCs w:val="32"/>
        </w:rPr>
      </w:pPr>
      <w:r>
        <w:rPr>
          <w:rFonts w:ascii="Times New Roman" w:hAnsi="Times New Roman" w:eastAsia="仿宋_GB2312" w:cs="Times New Roman"/>
          <w:color w:val="auto"/>
          <w:spacing w:val="10"/>
          <w:sz w:val="32"/>
          <w:szCs w:val="32"/>
          <w:lang w:val="en-US" w:eastAsia="zh-CN"/>
        </w:rPr>
        <w:t>因中小学及幼儿园新建、改扩建等客观原因，造成持证人无法在原核定地址经营，持证人申请歇业并在原单元网格内新址申请新办的，不受所在单元网格规划数限制，零售点间距可放宽至本单元网格间距标准的</w:t>
      </w:r>
      <w:r>
        <w:rPr>
          <w:rFonts w:hint="eastAsia" w:ascii="Times New Roman" w:hAnsi="Times New Roman" w:eastAsia="仿宋_GB2312" w:cs="Times New Roman"/>
          <w:color w:val="auto"/>
          <w:spacing w:val="10"/>
          <w:sz w:val="32"/>
          <w:szCs w:val="32"/>
          <w:lang w:val="en-US" w:eastAsia="zh-CN"/>
        </w:rPr>
        <w:t>40%执行</w:t>
      </w:r>
      <w:r>
        <w:rPr>
          <w:rFonts w:hint="eastAsia" w:eastAsia="仿宋_GB2312" w:cs="Times New Roman"/>
          <w:color w:val="auto"/>
          <w:spacing w:val="10"/>
          <w:sz w:val="32"/>
          <w:szCs w:val="32"/>
          <w:lang w:val="en-US" w:eastAsia="zh-CN"/>
        </w:rPr>
        <w:t>。</w:t>
      </w:r>
    </w:p>
    <w:p w14:paraId="1668FB60">
      <w:pPr>
        <w:numPr>
          <w:ilvl w:val="0"/>
          <w:numId w:val="0"/>
        </w:numPr>
        <w:adjustRightInd w:val="0"/>
        <w:snapToGrid w:val="0"/>
        <w:spacing w:line="360" w:lineRule="auto"/>
        <w:ind w:firstLine="680" w:firstLineChars="200"/>
        <w:jc w:val="both"/>
        <w:textAlignment w:val="baseline"/>
        <w:rPr>
          <w:rFonts w:eastAsia="仿宋_GB2312"/>
          <w:spacing w:val="10"/>
          <w:sz w:val="32"/>
          <w:szCs w:val="32"/>
        </w:rPr>
      </w:pPr>
      <w:r>
        <w:rPr>
          <w:rFonts w:hint="eastAsia" w:ascii="Times New Roman" w:hAnsi="Times New Roman" w:eastAsia="仿宋_GB2312" w:cs="Times New Roman"/>
          <w:color w:val="auto"/>
          <w:spacing w:val="10"/>
          <w:sz w:val="32"/>
          <w:szCs w:val="32"/>
          <w:lang w:val="en-US" w:eastAsia="zh-CN"/>
        </w:rPr>
        <w:t>在元江县</w:t>
      </w:r>
      <w:r>
        <w:rPr>
          <w:rFonts w:ascii="Times New Roman" w:hAnsi="Times New Roman" w:eastAsia="仿宋_GB2312" w:cs="Times New Roman"/>
          <w:color w:val="auto"/>
          <w:spacing w:val="10"/>
          <w:sz w:val="32"/>
          <w:szCs w:val="32"/>
          <w:lang w:val="en-US" w:eastAsia="zh-CN"/>
        </w:rPr>
        <w:t>其他单元网格</w:t>
      </w:r>
      <w:r>
        <w:rPr>
          <w:rFonts w:hint="eastAsia" w:ascii="Times New Roman" w:hAnsi="Times New Roman" w:eastAsia="仿宋_GB2312" w:cs="Times New Roman"/>
          <w:color w:val="auto"/>
          <w:spacing w:val="10"/>
          <w:sz w:val="32"/>
          <w:szCs w:val="32"/>
          <w:lang w:val="en-US" w:eastAsia="zh-CN"/>
        </w:rPr>
        <w:t>申请</w:t>
      </w:r>
      <w:r>
        <w:rPr>
          <w:rFonts w:ascii="Times New Roman" w:hAnsi="Times New Roman" w:eastAsia="仿宋_GB2312" w:cs="Times New Roman"/>
          <w:color w:val="auto"/>
          <w:spacing w:val="10"/>
          <w:sz w:val="32"/>
          <w:szCs w:val="32"/>
          <w:lang w:val="en-US" w:eastAsia="zh-CN"/>
        </w:rPr>
        <w:t>新办的，受所在单元网格规划数限制，间距标准可放宽至</w:t>
      </w:r>
      <w:r>
        <w:rPr>
          <w:rFonts w:hint="eastAsia" w:ascii="Times New Roman" w:hAnsi="Times New Roman" w:eastAsia="仿宋_GB2312" w:cs="Times New Roman"/>
          <w:color w:val="auto"/>
          <w:spacing w:val="10"/>
          <w:sz w:val="32"/>
          <w:szCs w:val="32"/>
          <w:lang w:val="en-US" w:eastAsia="zh-CN"/>
        </w:rPr>
        <w:t>本</w:t>
      </w:r>
      <w:r>
        <w:rPr>
          <w:rFonts w:ascii="Times New Roman" w:hAnsi="Times New Roman" w:eastAsia="仿宋_GB2312" w:cs="Times New Roman"/>
          <w:color w:val="auto"/>
          <w:spacing w:val="10"/>
          <w:sz w:val="32"/>
          <w:szCs w:val="32"/>
          <w:lang w:val="en-US" w:eastAsia="zh-CN"/>
        </w:rPr>
        <w:t>单元网格间距标准的</w:t>
      </w:r>
      <w:r>
        <w:rPr>
          <w:rFonts w:hint="eastAsia" w:ascii="Times New Roman" w:hAnsi="Times New Roman" w:eastAsia="仿宋_GB2312" w:cs="Times New Roman"/>
          <w:color w:val="auto"/>
          <w:spacing w:val="10"/>
          <w:sz w:val="32"/>
          <w:szCs w:val="32"/>
          <w:lang w:val="en-US" w:eastAsia="zh-CN"/>
        </w:rPr>
        <w:t>80%</w:t>
      </w:r>
      <w:r>
        <w:rPr>
          <w:rFonts w:ascii="Times New Roman" w:hAnsi="Times New Roman" w:eastAsia="仿宋_GB2312" w:cs="Times New Roman"/>
          <w:color w:val="auto"/>
          <w:spacing w:val="10"/>
          <w:sz w:val="32"/>
          <w:szCs w:val="32"/>
          <w:lang w:val="en-US" w:eastAsia="zh-CN"/>
        </w:rPr>
        <w:t>执行</w:t>
      </w:r>
      <w:r>
        <w:rPr>
          <w:rFonts w:eastAsia="仿宋_GB2312"/>
          <w:spacing w:val="10"/>
          <w:sz w:val="32"/>
          <w:szCs w:val="32"/>
        </w:rPr>
        <w:t>。</w:t>
      </w:r>
    </w:p>
    <w:p w14:paraId="0555AA7B">
      <w:pPr>
        <w:numPr>
          <w:ilvl w:val="2"/>
          <w:numId w:val="2"/>
        </w:numPr>
        <w:adjustRightInd w:val="0"/>
        <w:snapToGrid w:val="0"/>
        <w:spacing w:line="360" w:lineRule="auto"/>
        <w:ind w:left="-50" w:leftChars="0" w:firstLine="680" w:firstLineChars="0"/>
        <w:jc w:val="both"/>
        <w:textAlignment w:val="baseline"/>
        <w:rPr>
          <w:rFonts w:ascii="Times New Roman" w:hAnsi="Times New Roman" w:eastAsia="仿宋_GB2312" w:cs="Times New Roman"/>
          <w:color w:val="auto"/>
          <w:spacing w:val="10"/>
          <w:sz w:val="32"/>
          <w:szCs w:val="32"/>
        </w:rPr>
      </w:pPr>
      <w:r>
        <w:rPr>
          <w:rFonts w:ascii="Times New Roman" w:hAnsi="Times New Roman" w:eastAsia="仿宋_GB2312" w:cs="Times New Roman"/>
          <w:color w:val="auto"/>
          <w:spacing w:val="10"/>
          <w:sz w:val="32"/>
          <w:szCs w:val="32"/>
          <w:lang w:val="en-US" w:eastAsia="zh-CN"/>
        </w:rPr>
        <w:t>在原发证机关辖区范围内连续经营5年以上，且最近连</w:t>
      </w:r>
      <w:r>
        <w:rPr>
          <w:rFonts w:hint="eastAsia" w:ascii="Times New Roman" w:hAnsi="Times New Roman" w:eastAsia="仿宋_GB2312" w:cs="Times New Roman"/>
          <w:color w:val="auto"/>
          <w:spacing w:val="10"/>
          <w:sz w:val="32"/>
          <w:szCs w:val="32"/>
        </w:rPr>
        <w:t>续3年无涉烟违法违规记录的持证户，因租金上涨、租赁期满等客观原因不能在原核定地址经营，经营主体未发生改变，在办理许可证歇业后6个月内，持证人申请在原单元网格新址上新办零售许可证的，不受所在单元网格规划数限制，零售点间距可放宽至本单元网格间距标准的40%执行。</w:t>
      </w:r>
    </w:p>
    <w:p w14:paraId="5E1171BC">
      <w:pPr>
        <w:numPr>
          <w:ilvl w:val="0"/>
          <w:numId w:val="0"/>
        </w:numPr>
        <w:adjustRightInd w:val="0"/>
        <w:snapToGrid w:val="0"/>
        <w:spacing w:line="360" w:lineRule="auto"/>
        <w:ind w:firstLine="680" w:firstLineChars="200"/>
        <w:jc w:val="both"/>
        <w:textAlignment w:val="baseline"/>
        <w:rPr>
          <w:rFonts w:eastAsia="仿宋_GB2312"/>
          <w:color w:val="auto"/>
          <w:spacing w:val="10"/>
          <w:sz w:val="32"/>
          <w:szCs w:val="32"/>
        </w:rPr>
      </w:pPr>
    </w:p>
    <w:p w14:paraId="44D1F301">
      <w:pPr>
        <w:pStyle w:val="9"/>
        <w:numPr>
          <w:ilvl w:val="0"/>
          <w:numId w:val="1"/>
        </w:numPr>
        <w:snapToGrid w:val="0"/>
        <w:spacing w:before="312" w:beforeLines="100" w:after="312" w:afterLines="100" w:line="360" w:lineRule="auto"/>
        <w:ind w:firstLine="640" w:firstLineChars="200"/>
        <w:textAlignment w:val="baseline"/>
        <w:rPr>
          <w:rFonts w:ascii="Times New Roman" w:hAnsi="Times New Roman" w:eastAsia="黑体"/>
          <w:sz w:val="32"/>
          <w:szCs w:val="32"/>
        </w:rPr>
      </w:pPr>
      <w:r>
        <w:rPr>
          <w:rFonts w:ascii="Times New Roman" w:hAnsi="Times New Roman" w:eastAsia="黑体"/>
          <w:sz w:val="32"/>
          <w:szCs w:val="32"/>
        </w:rPr>
        <w:t>附则</w:t>
      </w:r>
    </w:p>
    <w:p w14:paraId="7177573A">
      <w:pPr>
        <w:numPr>
          <w:ilvl w:val="2"/>
          <w:numId w:val="2"/>
        </w:numPr>
        <w:snapToGrid w:val="0"/>
        <w:spacing w:line="360" w:lineRule="auto"/>
        <w:ind w:left="-50" w:leftChars="0" w:firstLine="680" w:firstLineChars="0"/>
        <w:jc w:val="both"/>
        <w:rPr>
          <w:rFonts w:eastAsia="仿宋_GB2312"/>
          <w:spacing w:val="10"/>
          <w:sz w:val="32"/>
          <w:szCs w:val="32"/>
        </w:rPr>
      </w:pPr>
      <w:r>
        <w:rPr>
          <w:rFonts w:eastAsia="仿宋_GB2312"/>
          <w:spacing w:val="10"/>
          <w:sz w:val="32"/>
          <w:szCs w:val="32"/>
        </w:rPr>
        <w:t>本规划实施后如遇相关法律法规、规章及规范性文件调整的，根据最新规定进行调整，及时报</w:t>
      </w:r>
      <w:r>
        <w:rPr>
          <w:rFonts w:hint="eastAsia" w:eastAsia="仿宋_GB2312"/>
          <w:spacing w:val="10"/>
          <w:sz w:val="32"/>
          <w:szCs w:val="32"/>
          <w:lang w:val="en-US" w:eastAsia="zh-CN"/>
        </w:rPr>
        <w:t>元江县司法局</w:t>
      </w:r>
      <w:r>
        <w:rPr>
          <w:rFonts w:eastAsia="仿宋_GB2312"/>
          <w:spacing w:val="10"/>
          <w:sz w:val="32"/>
          <w:szCs w:val="32"/>
        </w:rPr>
        <w:t>备案后公布实施。</w:t>
      </w:r>
    </w:p>
    <w:p w14:paraId="1C39D8C0">
      <w:pPr>
        <w:numPr>
          <w:ilvl w:val="2"/>
          <w:numId w:val="2"/>
        </w:numPr>
        <w:snapToGrid w:val="0"/>
        <w:spacing w:line="360" w:lineRule="auto"/>
        <w:ind w:left="-50" w:leftChars="0" w:firstLine="680" w:firstLineChars="0"/>
        <w:jc w:val="both"/>
        <w:rPr>
          <w:rFonts w:eastAsia="仿宋_GB2312"/>
          <w:sz w:val="32"/>
          <w:szCs w:val="32"/>
        </w:rPr>
      </w:pPr>
      <w:r>
        <w:rPr>
          <w:rFonts w:hint="eastAsia" w:eastAsia="仿宋_GB2312"/>
          <w:spacing w:val="10"/>
          <w:sz w:val="32"/>
          <w:szCs w:val="32"/>
          <w:lang w:val="en-US" w:eastAsia="zh-CN"/>
        </w:rPr>
        <w:t>元江</w:t>
      </w:r>
      <w:r>
        <w:rPr>
          <w:rFonts w:eastAsia="仿宋_GB2312"/>
          <w:spacing w:val="10"/>
          <w:sz w:val="32"/>
          <w:szCs w:val="32"/>
        </w:rPr>
        <w:t>县</w:t>
      </w:r>
      <w:r>
        <w:rPr>
          <w:rFonts w:eastAsia="仿宋_GB2312"/>
          <w:sz w:val="32"/>
          <w:szCs w:val="32"/>
        </w:rPr>
        <w:t>零售点合理布局实行定期评价、动态管理。每季度根据本地经济发展、城乡建设、市场形势等变化情况进行调整并公示后实施。</w:t>
      </w:r>
      <w:r>
        <w:rPr>
          <w:rFonts w:hint="eastAsia" w:eastAsia="仿宋_GB2312"/>
          <w:sz w:val="32"/>
          <w:szCs w:val="32"/>
        </w:rPr>
        <w:t>动态调整规则详见《</w:t>
      </w:r>
      <w:r>
        <w:rPr>
          <w:rFonts w:eastAsia="仿宋_GB2312"/>
          <w:sz w:val="32"/>
          <w:szCs w:val="32"/>
        </w:rPr>
        <w:t>云南省</w:t>
      </w:r>
      <w:r>
        <w:rPr>
          <w:rFonts w:hint="eastAsia" w:eastAsia="仿宋_GB2312"/>
          <w:sz w:val="32"/>
          <w:szCs w:val="32"/>
          <w:lang w:val="en-US" w:eastAsia="zh-CN"/>
        </w:rPr>
        <w:t>元江哈尼族彝族傣族自治</w:t>
      </w:r>
      <w:r>
        <w:rPr>
          <w:rFonts w:eastAsia="仿宋_GB2312"/>
          <w:sz w:val="32"/>
          <w:szCs w:val="32"/>
        </w:rPr>
        <w:t>县烟草制品零售点合理布局规划数动态调整管理制度</w:t>
      </w:r>
      <w:r>
        <w:rPr>
          <w:rFonts w:hint="eastAsia" w:eastAsia="仿宋_GB2312"/>
          <w:sz w:val="32"/>
          <w:szCs w:val="32"/>
        </w:rPr>
        <w:t>》（附件5）。</w:t>
      </w:r>
    </w:p>
    <w:p w14:paraId="234C4D55">
      <w:pPr>
        <w:numPr>
          <w:ilvl w:val="2"/>
          <w:numId w:val="2"/>
        </w:numPr>
        <w:snapToGrid w:val="0"/>
        <w:spacing w:line="360" w:lineRule="auto"/>
        <w:ind w:left="-50" w:leftChars="0" w:firstLine="640" w:firstLineChars="0"/>
        <w:jc w:val="both"/>
        <w:rPr>
          <w:rFonts w:eastAsia="仿宋_GB2312"/>
          <w:color w:val="auto"/>
          <w:sz w:val="32"/>
          <w:szCs w:val="32"/>
        </w:rPr>
      </w:pPr>
      <w:r>
        <w:rPr>
          <w:rFonts w:eastAsia="仿宋_GB2312"/>
          <w:sz w:val="32"/>
          <w:szCs w:val="32"/>
        </w:rPr>
        <w:t>对暂不符合本布局规划条件的申请人，实行</w:t>
      </w:r>
      <w:r>
        <w:rPr>
          <w:rFonts w:hint="eastAsia" w:eastAsia="仿宋_GB2312"/>
          <w:sz w:val="32"/>
          <w:szCs w:val="32"/>
        </w:rPr>
        <w:t>排队</w:t>
      </w:r>
      <w:r>
        <w:rPr>
          <w:rFonts w:eastAsia="仿宋_GB2312"/>
          <w:sz w:val="32"/>
          <w:szCs w:val="32"/>
        </w:rPr>
        <w:t>轮候制度。</w:t>
      </w:r>
      <w:r>
        <w:rPr>
          <w:rFonts w:hint="eastAsia" w:eastAsia="仿宋_GB2312"/>
          <w:sz w:val="32"/>
          <w:szCs w:val="32"/>
        </w:rPr>
        <w:t>排队</w:t>
      </w:r>
      <w:r>
        <w:rPr>
          <w:rFonts w:eastAsia="仿宋_GB2312"/>
          <w:sz w:val="32"/>
          <w:szCs w:val="32"/>
        </w:rPr>
        <w:t>轮候制度详见《云南省</w:t>
      </w:r>
      <w:r>
        <w:rPr>
          <w:rFonts w:hint="eastAsia" w:eastAsia="仿宋_GB2312"/>
          <w:sz w:val="32"/>
          <w:szCs w:val="32"/>
          <w:lang w:val="en-US" w:eastAsia="zh-CN"/>
        </w:rPr>
        <w:t>元江哈尼族彝族傣族自治</w:t>
      </w:r>
      <w:r>
        <w:rPr>
          <w:rFonts w:eastAsia="仿宋_GB2312"/>
          <w:sz w:val="32"/>
          <w:szCs w:val="32"/>
        </w:rPr>
        <w:t>县烟草专卖局烟草制品零售点</w:t>
      </w:r>
      <w:r>
        <w:rPr>
          <w:rFonts w:hint="eastAsia" w:eastAsia="仿宋_GB2312"/>
          <w:sz w:val="32"/>
          <w:szCs w:val="32"/>
        </w:rPr>
        <w:t>排队</w:t>
      </w:r>
      <w:r>
        <w:rPr>
          <w:rFonts w:eastAsia="仿宋_GB2312"/>
          <w:sz w:val="32"/>
          <w:szCs w:val="32"/>
        </w:rPr>
        <w:t>轮候制度》（附件</w:t>
      </w:r>
      <w:r>
        <w:rPr>
          <w:rFonts w:hint="eastAsia" w:eastAsia="仿宋_GB2312"/>
          <w:sz w:val="32"/>
          <w:szCs w:val="32"/>
          <w:lang w:val="en-US" w:eastAsia="zh-CN"/>
        </w:rPr>
        <w:t>6</w:t>
      </w:r>
      <w:r>
        <w:rPr>
          <w:rFonts w:eastAsia="仿宋_GB2312"/>
          <w:sz w:val="32"/>
          <w:szCs w:val="32"/>
        </w:rPr>
        <w:t>）。</w:t>
      </w:r>
    </w:p>
    <w:p w14:paraId="44C6BB53">
      <w:pPr>
        <w:numPr>
          <w:ilvl w:val="2"/>
          <w:numId w:val="2"/>
        </w:numPr>
        <w:snapToGrid w:val="0"/>
        <w:spacing w:line="360" w:lineRule="auto"/>
        <w:ind w:left="-50" w:leftChars="0" w:firstLine="680" w:firstLineChars="0"/>
        <w:jc w:val="both"/>
        <w:rPr>
          <w:rFonts w:eastAsia="仿宋_GB2312"/>
          <w:spacing w:val="10"/>
          <w:sz w:val="32"/>
          <w:szCs w:val="32"/>
        </w:rPr>
      </w:pPr>
      <w:r>
        <w:rPr>
          <w:rFonts w:hint="eastAsia" w:eastAsia="仿宋_GB2312"/>
          <w:color w:val="auto"/>
          <w:sz w:val="32"/>
          <w:szCs w:val="32"/>
        </w:rPr>
        <w:t>符合第十</w:t>
      </w:r>
      <w:r>
        <w:rPr>
          <w:rFonts w:hint="eastAsia" w:eastAsia="仿宋_GB2312"/>
          <w:color w:val="auto"/>
          <w:sz w:val="32"/>
          <w:szCs w:val="32"/>
          <w:lang w:val="en-US" w:eastAsia="zh-CN"/>
        </w:rPr>
        <w:t>七</w:t>
      </w:r>
      <w:r>
        <w:rPr>
          <w:rFonts w:hint="eastAsia" w:eastAsia="仿宋_GB2312"/>
          <w:color w:val="auto"/>
          <w:sz w:val="32"/>
          <w:szCs w:val="32"/>
        </w:rPr>
        <w:t>条、第十</w:t>
      </w:r>
      <w:r>
        <w:rPr>
          <w:rFonts w:hint="eastAsia" w:eastAsia="仿宋_GB2312"/>
          <w:color w:val="auto"/>
          <w:sz w:val="32"/>
          <w:szCs w:val="32"/>
          <w:lang w:val="en-US" w:eastAsia="zh-CN"/>
        </w:rPr>
        <w:t>八</w:t>
      </w:r>
      <w:r>
        <w:rPr>
          <w:rFonts w:hint="eastAsia" w:eastAsia="仿宋_GB2312"/>
          <w:color w:val="auto"/>
          <w:sz w:val="32"/>
          <w:szCs w:val="32"/>
        </w:rPr>
        <w:t>条</w:t>
      </w:r>
      <w:r>
        <w:rPr>
          <w:rFonts w:hint="eastAsia" w:eastAsia="仿宋_GB2312"/>
          <w:color w:val="auto"/>
          <w:sz w:val="32"/>
          <w:szCs w:val="32"/>
          <w:lang w:eastAsia="zh-CN"/>
        </w:rPr>
        <w:t>、</w:t>
      </w:r>
      <w:r>
        <w:rPr>
          <w:rFonts w:hint="eastAsia" w:eastAsia="仿宋_GB2312"/>
          <w:color w:val="auto"/>
          <w:sz w:val="32"/>
          <w:szCs w:val="32"/>
        </w:rPr>
        <w:t>第</w:t>
      </w:r>
      <w:r>
        <w:rPr>
          <w:rFonts w:hint="eastAsia" w:eastAsia="仿宋_GB2312"/>
          <w:color w:val="auto"/>
          <w:sz w:val="32"/>
          <w:szCs w:val="32"/>
          <w:lang w:val="en-US" w:eastAsia="zh-CN"/>
        </w:rPr>
        <w:t>十九</w:t>
      </w:r>
      <w:r>
        <w:rPr>
          <w:rFonts w:hint="eastAsia" w:eastAsia="仿宋_GB2312"/>
          <w:color w:val="auto"/>
          <w:sz w:val="32"/>
          <w:szCs w:val="32"/>
        </w:rPr>
        <w:t>条情</w:t>
      </w:r>
      <w:r>
        <w:rPr>
          <w:rFonts w:hint="eastAsia" w:eastAsia="仿宋_GB2312"/>
          <w:sz w:val="32"/>
          <w:szCs w:val="32"/>
        </w:rPr>
        <w:t>形且不受单元网格规划数限制的，申请人不实行排队轮候制度。</w:t>
      </w:r>
    </w:p>
    <w:p w14:paraId="1A72BBFA">
      <w:pPr>
        <w:numPr>
          <w:ilvl w:val="2"/>
          <w:numId w:val="2"/>
        </w:numPr>
        <w:snapToGrid w:val="0"/>
        <w:spacing w:line="360" w:lineRule="auto"/>
        <w:ind w:left="-50" w:leftChars="0" w:firstLine="680" w:firstLineChars="0"/>
        <w:jc w:val="both"/>
        <w:rPr>
          <w:rFonts w:eastAsia="仿宋_GB2312"/>
          <w:spacing w:val="10"/>
          <w:sz w:val="32"/>
          <w:szCs w:val="32"/>
        </w:rPr>
      </w:pPr>
      <w:r>
        <w:rPr>
          <w:rFonts w:eastAsia="仿宋_GB2312"/>
          <w:spacing w:val="10"/>
          <w:sz w:val="32"/>
          <w:szCs w:val="32"/>
        </w:rPr>
        <w:t>本规划中所称“中小学校”是指普通中小学校、特殊教育学校、中等职业学校、专门学校等。“幼儿园”是指经教育行政主管部门依法批准的公办和民办全日制、寄宿制、半日制幼儿园及小学附设的学前班、幼儿班</w:t>
      </w:r>
      <w:r>
        <w:rPr>
          <w:rFonts w:hint="eastAsia" w:eastAsia="仿宋_GB2312"/>
          <w:spacing w:val="10"/>
          <w:sz w:val="32"/>
          <w:szCs w:val="32"/>
        </w:rPr>
        <w:t>等</w:t>
      </w:r>
      <w:r>
        <w:rPr>
          <w:rFonts w:eastAsia="仿宋_GB2312"/>
          <w:spacing w:val="10"/>
          <w:sz w:val="32"/>
          <w:szCs w:val="32"/>
        </w:rPr>
        <w:t>。各类培训教育机构、托管班、早教班等除外。</w:t>
      </w:r>
    </w:p>
    <w:p w14:paraId="5C79C2D7">
      <w:pPr>
        <w:numPr>
          <w:ilvl w:val="2"/>
          <w:numId w:val="2"/>
        </w:numPr>
        <w:snapToGrid w:val="0"/>
        <w:spacing w:line="360" w:lineRule="auto"/>
        <w:ind w:left="-50" w:leftChars="0" w:firstLine="680" w:firstLineChars="0"/>
        <w:jc w:val="both"/>
        <w:rPr>
          <w:rFonts w:eastAsia="仿宋_GB2312"/>
          <w:spacing w:val="10"/>
          <w:sz w:val="32"/>
          <w:szCs w:val="32"/>
        </w:rPr>
      </w:pPr>
      <w:r>
        <w:rPr>
          <w:rFonts w:eastAsia="仿宋_GB2312"/>
          <w:spacing w:val="10"/>
          <w:sz w:val="32"/>
          <w:szCs w:val="32"/>
        </w:rPr>
        <w:t>本规划中“以上”“不低于”“不超过”“以内”等，如无特殊说明均包括本数。</w:t>
      </w:r>
    </w:p>
    <w:p w14:paraId="13D4EF85">
      <w:pPr>
        <w:numPr>
          <w:ilvl w:val="2"/>
          <w:numId w:val="2"/>
        </w:numPr>
        <w:snapToGrid w:val="0"/>
        <w:spacing w:line="360" w:lineRule="auto"/>
        <w:ind w:left="-50" w:leftChars="0" w:firstLine="680" w:firstLineChars="0"/>
        <w:jc w:val="both"/>
        <w:rPr>
          <w:rFonts w:eastAsia="仿宋_GB2312"/>
          <w:color w:val="FF0000"/>
          <w:spacing w:val="10"/>
          <w:sz w:val="32"/>
          <w:szCs w:val="32"/>
        </w:rPr>
      </w:pPr>
      <w:r>
        <w:rPr>
          <w:rFonts w:eastAsia="仿宋_GB2312"/>
          <w:spacing w:val="10"/>
          <w:sz w:val="32"/>
          <w:szCs w:val="32"/>
        </w:rPr>
        <w:t>本规划中按照年、月、日计算期间的，开始的当日不计入，自下一日开始计算。</w:t>
      </w:r>
    </w:p>
    <w:p w14:paraId="28560F21">
      <w:pPr>
        <w:numPr>
          <w:ilvl w:val="2"/>
          <w:numId w:val="2"/>
        </w:numPr>
        <w:snapToGrid w:val="0"/>
        <w:spacing w:line="360" w:lineRule="auto"/>
        <w:ind w:left="-50" w:leftChars="0" w:firstLine="680" w:firstLineChars="0"/>
        <w:jc w:val="left"/>
        <w:rPr>
          <w:rFonts w:eastAsia="仿宋_GB2312"/>
          <w:color w:val="auto"/>
          <w:spacing w:val="10"/>
          <w:sz w:val="32"/>
          <w:szCs w:val="32"/>
        </w:rPr>
      </w:pPr>
      <w:r>
        <w:rPr>
          <w:rFonts w:eastAsia="仿宋_GB2312"/>
          <w:spacing w:val="10"/>
          <w:sz w:val="32"/>
          <w:szCs w:val="32"/>
        </w:rPr>
        <w:t>本规划由云南省</w:t>
      </w:r>
      <w:r>
        <w:rPr>
          <w:rFonts w:hint="eastAsia" w:eastAsia="仿宋_GB2312"/>
          <w:spacing w:val="10"/>
          <w:sz w:val="32"/>
          <w:szCs w:val="32"/>
          <w:lang w:val="en-US" w:eastAsia="zh-CN"/>
        </w:rPr>
        <w:t>元江哈尼族彝族傣族自治</w:t>
      </w:r>
      <w:r>
        <w:rPr>
          <w:rFonts w:eastAsia="仿宋_GB2312"/>
          <w:spacing w:val="10"/>
          <w:sz w:val="32"/>
          <w:szCs w:val="32"/>
        </w:rPr>
        <w:t>县烟草专卖</w:t>
      </w:r>
      <w:r>
        <w:rPr>
          <w:rFonts w:eastAsia="仿宋_GB2312"/>
          <w:color w:val="auto"/>
          <w:spacing w:val="10"/>
          <w:sz w:val="32"/>
          <w:szCs w:val="32"/>
        </w:rPr>
        <w:t>局负责解释。</w:t>
      </w:r>
    </w:p>
    <w:p w14:paraId="42257177">
      <w:pPr>
        <w:numPr>
          <w:ilvl w:val="2"/>
          <w:numId w:val="2"/>
        </w:numPr>
        <w:snapToGrid w:val="0"/>
        <w:spacing w:line="360" w:lineRule="auto"/>
        <w:ind w:left="-50" w:leftChars="0" w:firstLine="680" w:firstLineChars="0"/>
        <w:jc w:val="left"/>
        <w:textAlignment w:val="baseline"/>
        <w:rPr>
          <w:rFonts w:eastAsia="仿宋_GB2312"/>
          <w:color w:val="auto"/>
          <w:sz w:val="32"/>
          <w:szCs w:val="32"/>
        </w:rPr>
      </w:pPr>
      <w:r>
        <w:rPr>
          <w:rFonts w:hint="default" w:ascii="Times New Roman" w:hAnsi="Times New Roman" w:eastAsia="仿宋_GB2312" w:cs="Times New Roman"/>
          <w:color w:val="auto"/>
          <w:spacing w:val="10"/>
          <w:sz w:val="32"/>
          <w:szCs w:val="32"/>
          <w:lang w:eastAsia="zh-CN"/>
        </w:rPr>
        <w:t>本规划</w:t>
      </w:r>
      <w:r>
        <w:rPr>
          <w:rFonts w:hint="default" w:ascii="Times New Roman" w:hAnsi="Times New Roman" w:eastAsia="仿宋_GB2312" w:cs="Times New Roman"/>
          <w:color w:val="auto"/>
          <w:spacing w:val="10"/>
          <w:sz w:val="32"/>
          <w:szCs w:val="32"/>
          <w:lang w:val="en-US" w:eastAsia="zh-CN"/>
        </w:rPr>
        <w:t>自202</w:t>
      </w:r>
      <w:r>
        <w:rPr>
          <w:rFonts w:hint="eastAsia" w:eastAsia="仿宋_GB2312" w:cs="Times New Roman"/>
          <w:color w:val="auto"/>
          <w:spacing w:val="10"/>
          <w:sz w:val="32"/>
          <w:szCs w:val="32"/>
          <w:lang w:val="en-US" w:eastAsia="zh-CN"/>
        </w:rPr>
        <w:t>6</w:t>
      </w:r>
      <w:r>
        <w:rPr>
          <w:rFonts w:hint="default" w:ascii="Times New Roman" w:hAnsi="Times New Roman" w:eastAsia="仿宋_GB2312" w:cs="Times New Roman"/>
          <w:color w:val="auto"/>
          <w:spacing w:val="10"/>
          <w:sz w:val="32"/>
          <w:szCs w:val="32"/>
          <w:lang w:val="en-US" w:eastAsia="zh-CN"/>
        </w:rPr>
        <w:t>年</w:t>
      </w:r>
      <w:r>
        <w:rPr>
          <w:rFonts w:hint="eastAsia" w:eastAsia="仿宋_GB2312" w:cs="Times New Roman"/>
          <w:color w:val="auto"/>
          <w:spacing w:val="10"/>
          <w:sz w:val="32"/>
          <w:szCs w:val="32"/>
          <w:lang w:val="en-US" w:eastAsia="zh-CN"/>
        </w:rPr>
        <w:t>11</w:t>
      </w:r>
      <w:r>
        <w:rPr>
          <w:rFonts w:hint="default" w:ascii="Times New Roman" w:hAnsi="Times New Roman" w:eastAsia="仿宋_GB2312" w:cs="Times New Roman"/>
          <w:color w:val="auto"/>
          <w:spacing w:val="10"/>
          <w:sz w:val="32"/>
          <w:szCs w:val="32"/>
          <w:lang w:val="en-US" w:eastAsia="zh-CN"/>
        </w:rPr>
        <w:t>月</w:t>
      </w:r>
      <w:r>
        <w:rPr>
          <w:rFonts w:hint="eastAsia" w:eastAsia="仿宋_GB2312" w:cs="Times New Roman"/>
          <w:color w:val="auto"/>
          <w:spacing w:val="10"/>
          <w:sz w:val="32"/>
          <w:szCs w:val="32"/>
          <w:lang w:val="en-US" w:eastAsia="zh-CN"/>
        </w:rPr>
        <w:t>20</w:t>
      </w:r>
      <w:r>
        <w:rPr>
          <w:rFonts w:hint="default" w:ascii="Times New Roman" w:hAnsi="Times New Roman" w:eastAsia="仿宋_GB2312" w:cs="Times New Roman"/>
          <w:color w:val="auto"/>
          <w:spacing w:val="10"/>
          <w:sz w:val="32"/>
          <w:szCs w:val="32"/>
          <w:lang w:val="en-US" w:eastAsia="zh-CN"/>
        </w:rPr>
        <w:t>日施行</w:t>
      </w:r>
      <w:r>
        <w:rPr>
          <w:rFonts w:eastAsia="仿宋_GB2312"/>
          <w:color w:val="auto"/>
          <w:spacing w:val="10"/>
          <w:sz w:val="32"/>
          <w:szCs w:val="32"/>
        </w:rPr>
        <w:t>。202</w:t>
      </w:r>
      <w:r>
        <w:rPr>
          <w:rFonts w:hint="eastAsia" w:eastAsia="仿宋_GB2312"/>
          <w:color w:val="auto"/>
          <w:spacing w:val="10"/>
          <w:sz w:val="32"/>
          <w:szCs w:val="32"/>
          <w:lang w:val="en-US" w:eastAsia="zh-CN"/>
        </w:rPr>
        <w:t>5</w:t>
      </w:r>
      <w:r>
        <w:rPr>
          <w:rFonts w:eastAsia="仿宋_GB2312"/>
          <w:color w:val="auto"/>
          <w:spacing w:val="10"/>
          <w:sz w:val="32"/>
          <w:szCs w:val="32"/>
        </w:rPr>
        <w:t>年</w:t>
      </w:r>
      <w:r>
        <w:rPr>
          <w:rFonts w:hint="eastAsia" w:eastAsia="仿宋_GB2312"/>
          <w:color w:val="auto"/>
          <w:spacing w:val="10"/>
          <w:sz w:val="32"/>
          <w:szCs w:val="32"/>
          <w:lang w:val="en-US" w:eastAsia="zh-CN"/>
        </w:rPr>
        <w:t>11</w:t>
      </w:r>
      <w:r>
        <w:rPr>
          <w:rFonts w:eastAsia="仿宋_GB2312"/>
          <w:color w:val="auto"/>
          <w:spacing w:val="10"/>
          <w:sz w:val="32"/>
          <w:szCs w:val="32"/>
        </w:rPr>
        <w:t>月</w:t>
      </w:r>
      <w:r>
        <w:rPr>
          <w:rFonts w:hint="eastAsia" w:eastAsia="仿宋_GB2312"/>
          <w:color w:val="auto"/>
          <w:spacing w:val="10"/>
          <w:sz w:val="32"/>
          <w:szCs w:val="32"/>
          <w:lang w:val="en-US" w:eastAsia="zh-CN"/>
        </w:rPr>
        <w:t>01</w:t>
      </w:r>
      <w:r>
        <w:rPr>
          <w:rFonts w:eastAsia="仿宋_GB2312"/>
          <w:color w:val="auto"/>
          <w:spacing w:val="10"/>
          <w:sz w:val="32"/>
          <w:szCs w:val="32"/>
        </w:rPr>
        <w:t>日起实施的《</w:t>
      </w:r>
      <w:r>
        <w:rPr>
          <w:rFonts w:hint="eastAsia" w:eastAsia="仿宋_GB2312"/>
          <w:color w:val="auto"/>
          <w:spacing w:val="10"/>
          <w:sz w:val="32"/>
          <w:szCs w:val="32"/>
          <w:lang w:val="en-US" w:eastAsia="zh-CN"/>
        </w:rPr>
        <w:t>云南省元江哈尼族彝族傣族自治县</w:t>
      </w:r>
      <w:r>
        <w:rPr>
          <w:rFonts w:eastAsia="仿宋_GB2312"/>
          <w:color w:val="auto"/>
          <w:spacing w:val="10"/>
          <w:sz w:val="32"/>
          <w:szCs w:val="32"/>
        </w:rPr>
        <w:t>烟草制品零售点合理布局规定》（</w:t>
      </w:r>
      <w:r>
        <w:rPr>
          <w:rFonts w:hint="eastAsia" w:eastAsia="仿宋_GB2312"/>
          <w:color w:val="auto"/>
          <w:spacing w:val="10"/>
          <w:sz w:val="32"/>
          <w:szCs w:val="32"/>
          <w:lang w:val="en-US" w:eastAsia="zh-CN"/>
        </w:rPr>
        <w:t>元</w:t>
      </w:r>
      <w:r>
        <w:rPr>
          <w:rFonts w:eastAsia="仿宋_GB2312"/>
          <w:color w:val="auto"/>
          <w:spacing w:val="10"/>
          <w:sz w:val="32"/>
          <w:szCs w:val="32"/>
        </w:rPr>
        <w:t>烟专〔202</w:t>
      </w:r>
      <w:r>
        <w:rPr>
          <w:rFonts w:hint="eastAsia" w:eastAsia="仿宋_GB2312"/>
          <w:color w:val="auto"/>
          <w:spacing w:val="10"/>
          <w:sz w:val="32"/>
          <w:szCs w:val="32"/>
          <w:lang w:val="en-US" w:eastAsia="zh-CN"/>
        </w:rPr>
        <w:t>5</w:t>
      </w:r>
      <w:r>
        <w:rPr>
          <w:rFonts w:eastAsia="仿宋_GB2312"/>
          <w:color w:val="auto"/>
          <w:spacing w:val="10"/>
          <w:sz w:val="32"/>
          <w:szCs w:val="32"/>
        </w:rPr>
        <w:t>〕</w:t>
      </w:r>
      <w:r>
        <w:rPr>
          <w:rFonts w:hint="eastAsia" w:eastAsia="仿宋_GB2312"/>
          <w:color w:val="auto"/>
          <w:spacing w:val="10"/>
          <w:sz w:val="32"/>
          <w:szCs w:val="32"/>
          <w:lang w:val="en-US" w:eastAsia="zh-CN"/>
        </w:rPr>
        <w:t>16</w:t>
      </w:r>
      <w:r>
        <w:rPr>
          <w:rFonts w:eastAsia="仿宋_GB2312"/>
          <w:color w:val="auto"/>
          <w:spacing w:val="10"/>
          <w:sz w:val="32"/>
          <w:szCs w:val="32"/>
        </w:rPr>
        <w:t>号）同时废止</w:t>
      </w:r>
      <w:r>
        <w:rPr>
          <w:rFonts w:hint="eastAsia" w:eastAsia="仿宋_GB2312"/>
          <w:color w:val="auto"/>
          <w:spacing w:val="10"/>
          <w:sz w:val="32"/>
          <w:szCs w:val="32"/>
          <w:lang w:eastAsia="zh-CN"/>
        </w:rPr>
        <w:t>。</w:t>
      </w:r>
    </w:p>
    <w:p w14:paraId="6E67E4A6">
      <w:pPr>
        <w:pStyle w:val="13"/>
        <w:rPr>
          <w:rFonts w:hint="eastAsia" w:eastAsia="仿宋_GB2312"/>
          <w:spacing w:val="10"/>
          <w:sz w:val="32"/>
          <w:szCs w:val="32"/>
          <w:lang w:eastAsia="zh-CN"/>
        </w:rPr>
      </w:pPr>
    </w:p>
    <w:p w14:paraId="771E25A2">
      <w:pPr>
        <w:pStyle w:val="13"/>
        <w:rPr>
          <w:rFonts w:hint="eastAsia" w:eastAsia="仿宋_GB2312"/>
          <w:spacing w:val="10"/>
          <w:sz w:val="32"/>
          <w:szCs w:val="32"/>
          <w:lang w:eastAsia="zh-CN"/>
        </w:rPr>
      </w:pPr>
    </w:p>
    <w:p w14:paraId="4AE514C1">
      <w:pPr>
        <w:pStyle w:val="13"/>
        <w:rPr>
          <w:rFonts w:hint="eastAsia" w:eastAsia="仿宋_GB2312"/>
          <w:spacing w:val="10"/>
          <w:sz w:val="32"/>
          <w:szCs w:val="32"/>
          <w:lang w:eastAsia="zh-CN"/>
        </w:rPr>
      </w:pPr>
    </w:p>
    <w:p w14:paraId="43F436AB">
      <w:pPr>
        <w:pStyle w:val="13"/>
        <w:rPr>
          <w:rFonts w:hint="eastAsia" w:eastAsia="仿宋_GB2312"/>
          <w:spacing w:val="10"/>
          <w:sz w:val="32"/>
          <w:szCs w:val="32"/>
          <w:lang w:eastAsia="zh-CN"/>
        </w:rPr>
      </w:pPr>
    </w:p>
    <w:p w14:paraId="31D5D17D">
      <w:pPr>
        <w:pStyle w:val="13"/>
        <w:rPr>
          <w:rFonts w:hint="eastAsia" w:eastAsia="仿宋_GB2312"/>
          <w:spacing w:val="10"/>
          <w:sz w:val="32"/>
          <w:szCs w:val="32"/>
          <w:lang w:eastAsia="zh-CN"/>
        </w:rPr>
      </w:pPr>
    </w:p>
    <w:p w14:paraId="02BEDACC">
      <w:pPr>
        <w:pStyle w:val="13"/>
        <w:rPr>
          <w:rFonts w:hint="eastAsia" w:eastAsia="仿宋_GB2312"/>
          <w:spacing w:val="10"/>
          <w:sz w:val="32"/>
          <w:szCs w:val="32"/>
          <w:lang w:eastAsia="zh-CN"/>
        </w:rPr>
      </w:pPr>
    </w:p>
    <w:p w14:paraId="7CDFF625">
      <w:pPr>
        <w:pStyle w:val="13"/>
        <w:rPr>
          <w:rFonts w:hint="eastAsia" w:eastAsia="仿宋_GB2312"/>
          <w:spacing w:val="10"/>
          <w:sz w:val="32"/>
          <w:szCs w:val="32"/>
          <w:lang w:eastAsia="zh-CN"/>
        </w:rPr>
      </w:pPr>
    </w:p>
    <w:p w14:paraId="01AB1E8A">
      <w:pPr>
        <w:pStyle w:val="13"/>
        <w:rPr>
          <w:rFonts w:hint="eastAsia" w:eastAsia="仿宋_GB2312"/>
          <w:spacing w:val="10"/>
          <w:sz w:val="32"/>
          <w:szCs w:val="32"/>
          <w:lang w:eastAsia="zh-CN"/>
        </w:rPr>
      </w:pPr>
    </w:p>
    <w:p w14:paraId="3BF4666D">
      <w:pPr>
        <w:pStyle w:val="13"/>
        <w:rPr>
          <w:rFonts w:hint="eastAsia" w:eastAsia="仿宋_GB2312"/>
          <w:spacing w:val="10"/>
          <w:sz w:val="32"/>
          <w:szCs w:val="32"/>
          <w:lang w:eastAsia="zh-CN"/>
        </w:rPr>
      </w:pPr>
    </w:p>
    <w:p w14:paraId="35B2FD3A">
      <w:pPr>
        <w:pStyle w:val="13"/>
        <w:rPr>
          <w:rFonts w:hint="eastAsia" w:eastAsia="仿宋_GB2312"/>
          <w:spacing w:val="10"/>
          <w:sz w:val="32"/>
          <w:szCs w:val="32"/>
          <w:lang w:eastAsia="zh-CN"/>
        </w:rPr>
      </w:pPr>
    </w:p>
    <w:p w14:paraId="7456EE40">
      <w:pPr>
        <w:pStyle w:val="13"/>
        <w:rPr>
          <w:rFonts w:hint="eastAsia" w:eastAsia="仿宋_GB2312"/>
          <w:spacing w:val="10"/>
          <w:sz w:val="32"/>
          <w:szCs w:val="32"/>
          <w:lang w:eastAsia="zh-CN"/>
        </w:rPr>
      </w:pPr>
    </w:p>
    <w:p w14:paraId="160819D4">
      <w:pPr>
        <w:pStyle w:val="13"/>
        <w:rPr>
          <w:rFonts w:hint="eastAsia" w:eastAsia="仿宋_GB2312"/>
          <w:spacing w:val="10"/>
          <w:sz w:val="32"/>
          <w:szCs w:val="32"/>
          <w:lang w:eastAsia="zh-CN"/>
        </w:rPr>
      </w:pPr>
    </w:p>
    <w:p w14:paraId="03140BD7">
      <w:pPr>
        <w:spacing w:line="336" w:lineRule="auto"/>
        <w:ind w:left="1280" w:hanging="1280" w:hangingChars="400"/>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附件：1.云南省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烟草制品零售点间距测量规则及标准</w:t>
      </w:r>
    </w:p>
    <w:p w14:paraId="42AC19F8">
      <w:pPr>
        <w:spacing w:line="336" w:lineRule="auto"/>
        <w:ind w:left="0" w:leftChars="0" w:firstLine="960" w:firstLineChars="300"/>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2.</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788AC3FF">
      <w:pPr>
        <w:spacing w:line="336" w:lineRule="auto"/>
        <w:ind w:firstLine="1280" w:firstLineChars="400"/>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点合理布局公示表</w:t>
      </w:r>
    </w:p>
    <w:p w14:paraId="5A1B715E">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3.</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4181C875">
      <w:pPr>
        <w:numPr>
          <w:ilvl w:val="0"/>
          <w:numId w:val="0"/>
        </w:numPr>
        <w:spacing w:line="336" w:lineRule="auto"/>
        <w:ind w:firstLine="1280" w:firstLineChars="400"/>
        <w:textAlignment w:val="auto"/>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点合理布局规划网格示意图</w:t>
      </w:r>
    </w:p>
    <w:p w14:paraId="5812FE57">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4.</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雪茄烟专营零</w:t>
      </w:r>
    </w:p>
    <w:p w14:paraId="2E7D79E5">
      <w:pPr>
        <w:numPr>
          <w:ilvl w:val="-1"/>
          <w:numId w:val="0"/>
        </w:numPr>
        <w:spacing w:line="336" w:lineRule="auto"/>
        <w:ind w:firstLine="1280" w:firstLineChars="400"/>
        <w:textAlignment w:val="auto"/>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售点合理布局公示表</w:t>
      </w:r>
    </w:p>
    <w:p w14:paraId="766E1A45">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5.</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1E62B911">
      <w:pPr>
        <w:numPr>
          <w:ilvl w:val="0"/>
          <w:numId w:val="0"/>
        </w:numPr>
        <w:spacing w:line="336" w:lineRule="auto"/>
        <w:ind w:firstLine="1280" w:firstLineChars="400"/>
        <w:textAlignment w:val="auto"/>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点合理布局规划数动态调整管理制度</w:t>
      </w:r>
    </w:p>
    <w:p w14:paraId="6B1A24C7">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6.</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43111F3E">
      <w:pPr>
        <w:numPr>
          <w:ilvl w:val="0"/>
          <w:numId w:val="0"/>
        </w:numPr>
        <w:spacing w:line="336" w:lineRule="auto"/>
        <w:ind w:firstLine="1280" w:firstLineChars="400"/>
        <w:textAlignment w:val="auto"/>
        <w:rPr>
          <w:rFonts w:hint="eastAsia"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点排队轮候制度</w:t>
      </w:r>
    </w:p>
    <w:p w14:paraId="656D3CDB">
      <w:pPr>
        <w:keepNext w:val="0"/>
        <w:keepLines w:val="0"/>
        <w:pageBreakBefore w:val="0"/>
        <w:kinsoku/>
        <w:wordWrap/>
        <w:overflowPunct/>
        <w:topLinePunct w:val="0"/>
        <w:autoSpaceDE/>
        <w:autoSpaceDN/>
        <w:bidi w:val="0"/>
        <w:adjustRightInd/>
        <w:snapToGrid/>
        <w:spacing w:line="360" w:lineRule="auto"/>
        <w:rPr>
          <w:rFonts w:hint="eastAsia" w:ascii="宋体" w:hAnsi="宋体" w:cs="宋体"/>
          <w:spacing w:val="-1"/>
          <w:sz w:val="20"/>
          <w:szCs w:val="22"/>
          <w:lang w:val="en-US" w:eastAsia="zh-CN"/>
        </w:rPr>
        <w:sectPr>
          <w:footerReference r:id="rId3" w:type="default"/>
          <w:footerReference r:id="rId4" w:type="even"/>
          <w:pgSz w:w="11906" w:h="16838"/>
          <w:pgMar w:top="1440" w:right="1800" w:bottom="1440" w:left="1800" w:header="851" w:footer="992" w:gutter="0"/>
          <w:cols w:space="425" w:num="1"/>
          <w:docGrid w:type="lines" w:linePitch="312" w:charSpace="0"/>
        </w:sectPr>
      </w:pPr>
    </w:p>
    <w:p w14:paraId="53BC5089">
      <w:pPr>
        <w:widowControl/>
        <w:spacing w:before="86" w:line="360" w:lineRule="auto"/>
        <w:jc w:val="left"/>
        <w:rPr>
          <w:rFonts w:ascii="黑体" w:hAnsi="黑体" w:eastAsia="黑体" w:cs="黑体"/>
          <w:spacing w:val="10"/>
          <w:sz w:val="32"/>
          <w:szCs w:val="32"/>
        </w:rPr>
      </w:pPr>
      <w:r>
        <w:rPr>
          <w:rFonts w:hint="eastAsia" w:ascii="黑体" w:hAnsi="黑体" w:eastAsia="黑体" w:cs="黑体"/>
          <w:spacing w:val="10"/>
          <w:sz w:val="32"/>
          <w:szCs w:val="32"/>
        </w:rPr>
        <w:t>附件1</w:t>
      </w:r>
    </w:p>
    <w:p w14:paraId="4B39A57C">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w:t>
      </w:r>
    </w:p>
    <w:p w14:paraId="462935E6">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烟草制品零售点间距测量规则及标准</w:t>
      </w:r>
    </w:p>
    <w:p w14:paraId="03583DFB"/>
    <w:p w14:paraId="33FB5648">
      <w:pPr>
        <w:widowControl/>
        <w:tabs>
          <w:tab w:val="left" w:pos="2723"/>
        </w:tabs>
        <w:adjustRightInd w:val="0"/>
        <w:snapToGrid w:val="0"/>
        <w:spacing w:before="86"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根据云南省元江哈尼族彝族傣族自治县辖区实际情况，现明确《云南省元江哈尼族彝族傣族自治县烟草制品零售点合理布局规划》第</w:t>
      </w:r>
      <w:r>
        <w:rPr>
          <w:rFonts w:hint="eastAsia" w:ascii="仿宋_GB2312" w:hAnsi="仿宋_GB2312" w:eastAsia="仿宋_GB2312" w:cs="仿宋_GB2312"/>
          <w:spacing w:val="10"/>
          <w:sz w:val="32"/>
          <w:szCs w:val="32"/>
          <w:lang w:val="en-US" w:eastAsia="zh-CN"/>
        </w:rPr>
        <w:t>八</w:t>
      </w:r>
      <w:r>
        <w:rPr>
          <w:rFonts w:hint="eastAsia" w:ascii="仿宋_GB2312" w:hAnsi="仿宋_GB2312" w:eastAsia="仿宋_GB2312" w:cs="仿宋_GB2312"/>
          <w:spacing w:val="10"/>
          <w:sz w:val="32"/>
          <w:szCs w:val="32"/>
        </w:rPr>
        <w:t>条中有关的“零售点间距”测量规则及标准如下：</w:t>
      </w:r>
    </w:p>
    <w:p w14:paraId="66FE8D92">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一、测量规则</w:t>
      </w:r>
    </w:p>
    <w:p w14:paraId="1504EAE3">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14:paraId="1D1A544F">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（二）应当使用符合国家距离测量标准的测量工具。</w:t>
      </w:r>
    </w:p>
    <w:p w14:paraId="07B58853">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14:paraId="0213923D">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38F50F9D">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14:paraId="51DF4D0C">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14:paraId="1F77A011">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2598D132">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159B068E">
      <w:pPr>
        <w:pStyle w:val="4"/>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0FBC971D">
      <w:pPr>
        <w:pStyle w:val="4"/>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6"/>
                    <a:stretch>
                      <a:fillRect/>
                    </a:stretch>
                  </pic:blipFill>
                  <pic:spPr>
                    <a:xfrm>
                      <a:off x="0" y="0"/>
                      <a:ext cx="3970020" cy="1748155"/>
                    </a:xfrm>
                    <a:prstGeom prst="rect">
                      <a:avLst/>
                    </a:prstGeom>
                  </pic:spPr>
                </pic:pic>
              </a:graphicData>
            </a:graphic>
          </wp:inline>
        </w:drawing>
      </w:r>
    </w:p>
    <w:p w14:paraId="46138297">
      <w:pPr>
        <w:pStyle w:val="4"/>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06EEE96B">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0A60E439">
      <w:pPr>
        <w:pStyle w:val="4"/>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8590" cy="1883410"/>
            <wp:effectExtent l="0" t="0" r="10160"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7"/>
                    <a:stretch>
                      <a:fillRect/>
                    </a:stretch>
                  </pic:blipFill>
                  <pic:spPr>
                    <a:xfrm>
                      <a:off x="0" y="0"/>
                      <a:ext cx="5240217" cy="1887838"/>
                    </a:xfrm>
                    <a:prstGeom prst="rect">
                      <a:avLst/>
                    </a:prstGeom>
                  </pic:spPr>
                </pic:pic>
              </a:graphicData>
            </a:graphic>
          </wp:inline>
        </w:drawing>
      </w:r>
    </w:p>
    <w:p w14:paraId="0F5202C9">
      <w:pPr>
        <w:pStyle w:val="4"/>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4B96A93E">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70120B8F">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08A824C3">
      <w:pPr>
        <w:pStyle w:val="4"/>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8"/>
                    <a:stretch>
                      <a:fillRect/>
                    </a:stretch>
                  </pic:blipFill>
                  <pic:spPr>
                    <a:xfrm>
                      <a:off x="0" y="0"/>
                      <a:ext cx="4934585" cy="2446020"/>
                    </a:xfrm>
                    <a:prstGeom prst="rect">
                      <a:avLst/>
                    </a:prstGeom>
                  </pic:spPr>
                </pic:pic>
              </a:graphicData>
            </a:graphic>
          </wp:inline>
        </w:drawing>
      </w:r>
    </w:p>
    <w:p w14:paraId="5BA84B37">
      <w:pPr>
        <w:pStyle w:val="4"/>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59EF0D92">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29639889">
      <w:pPr>
        <w:pStyle w:val="4"/>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9"/>
                    <a:stretch>
                      <a:fillRect/>
                    </a:stretch>
                  </pic:blipFill>
                  <pic:spPr>
                    <a:xfrm>
                      <a:off x="0" y="0"/>
                      <a:ext cx="5015865" cy="2638425"/>
                    </a:xfrm>
                    <a:prstGeom prst="rect">
                      <a:avLst/>
                    </a:prstGeom>
                  </pic:spPr>
                </pic:pic>
              </a:graphicData>
            </a:graphic>
          </wp:inline>
        </w:drawing>
      </w:r>
    </w:p>
    <w:p w14:paraId="0FF25BE4">
      <w:pPr>
        <w:pStyle w:val="4"/>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7C4BB51B">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00BE3FEA">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10"/>
                    <a:stretch>
                      <a:fillRect/>
                    </a:stretch>
                  </pic:blipFill>
                  <pic:spPr>
                    <a:xfrm>
                      <a:off x="0" y="0"/>
                      <a:ext cx="5194300" cy="2531745"/>
                    </a:xfrm>
                    <a:prstGeom prst="rect">
                      <a:avLst/>
                    </a:prstGeom>
                  </pic:spPr>
                </pic:pic>
              </a:graphicData>
            </a:graphic>
          </wp:inline>
        </w:drawing>
      </w:r>
    </w:p>
    <w:p w14:paraId="19F47C7E">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13DE6A05">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49630AE0">
      <w:pPr>
        <w:pStyle w:val="4"/>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2535" cy="1860550"/>
            <wp:effectExtent l="0" t="0" r="1841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5E3D363A">
      <w:pPr>
        <w:pStyle w:val="4"/>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510B9ABF">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41935058">
      <w:pPr>
        <w:pStyle w:val="4"/>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2"/>
                    <a:srcRect t="17596"/>
                    <a:stretch>
                      <a:fillRect/>
                    </a:stretch>
                  </pic:blipFill>
                  <pic:spPr>
                    <a:xfrm>
                      <a:off x="0" y="0"/>
                      <a:ext cx="4768850" cy="2709545"/>
                    </a:xfrm>
                    <a:prstGeom prst="rect">
                      <a:avLst/>
                    </a:prstGeom>
                  </pic:spPr>
                </pic:pic>
              </a:graphicData>
            </a:graphic>
          </wp:inline>
        </w:drawing>
      </w:r>
    </w:p>
    <w:p w14:paraId="257FFBA9">
      <w:pPr>
        <w:pStyle w:val="4"/>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3C583AF1">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472728BB">
      <w:pPr>
        <w:pStyle w:val="4"/>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52B2CBD7">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3"/>
                    <a:stretch>
                      <a:fillRect/>
                    </a:stretch>
                  </pic:blipFill>
                  <pic:spPr>
                    <a:xfrm>
                      <a:off x="0" y="0"/>
                      <a:ext cx="3064510" cy="2741930"/>
                    </a:xfrm>
                    <a:prstGeom prst="rect">
                      <a:avLst/>
                    </a:prstGeom>
                  </pic:spPr>
                </pic:pic>
              </a:graphicData>
            </a:graphic>
          </wp:inline>
        </w:drawing>
      </w:r>
    </w:p>
    <w:p w14:paraId="4E4BF701">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4B1E47F5">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6A1125A9">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3A1BBDBD">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5385"/>
            <wp:effectExtent l="0" t="0" r="0" b="12065"/>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4"/>
                    <a:stretch>
                      <a:fillRect/>
                    </a:stretch>
                  </pic:blipFill>
                  <pic:spPr>
                    <a:xfrm>
                      <a:off x="0" y="0"/>
                      <a:ext cx="2782892" cy="2481288"/>
                    </a:xfrm>
                    <a:prstGeom prst="rect">
                      <a:avLst/>
                    </a:prstGeom>
                  </pic:spPr>
                </pic:pic>
              </a:graphicData>
            </a:graphic>
          </wp:inline>
        </w:drawing>
      </w:r>
    </w:p>
    <w:p w14:paraId="3E47347C">
      <w:pPr>
        <w:pStyle w:val="4"/>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7FC11054">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5894D925">
      <w:pPr>
        <w:pStyle w:val="4"/>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586D868D">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5"/>
                    <a:stretch>
                      <a:fillRect/>
                    </a:stretch>
                  </pic:blipFill>
                  <pic:spPr>
                    <a:xfrm>
                      <a:off x="0" y="0"/>
                      <a:ext cx="2703830" cy="2475865"/>
                    </a:xfrm>
                    <a:prstGeom prst="rect">
                      <a:avLst/>
                    </a:prstGeom>
                  </pic:spPr>
                </pic:pic>
              </a:graphicData>
            </a:graphic>
          </wp:inline>
        </w:drawing>
      </w:r>
    </w:p>
    <w:p w14:paraId="24E06EB9">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14AD9C08">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5D27FBBF">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50EC028B">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2575" cy="2128520"/>
            <wp:effectExtent l="0" t="0" r="15875" b="50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6"/>
                    <a:stretch>
                      <a:fillRect/>
                    </a:stretch>
                  </pic:blipFill>
                  <pic:spPr>
                    <a:xfrm>
                      <a:off x="0" y="0"/>
                      <a:ext cx="2844973" cy="2145560"/>
                    </a:xfrm>
                    <a:prstGeom prst="rect">
                      <a:avLst/>
                    </a:prstGeom>
                  </pic:spPr>
                </pic:pic>
              </a:graphicData>
            </a:graphic>
          </wp:inline>
        </w:drawing>
      </w:r>
    </w:p>
    <w:p w14:paraId="43146F1B">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3D74CBCD">
      <w:pPr>
        <w:pStyle w:val="4"/>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3E20C3C2">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13E9C234">
      <w:pPr>
        <w:pStyle w:val="4"/>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7500" cy="2635885"/>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7">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14:paraId="485B6049">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5A636565">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0EC4AEA3">
      <w:pPr>
        <w:pStyle w:val="4"/>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1995" cy="1890395"/>
            <wp:effectExtent l="0" t="0" r="14605" b="14605"/>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18"/>
                    <a:srcRect t="11409"/>
                    <a:stretch>
                      <a:fillRect/>
                    </a:stretch>
                  </pic:blipFill>
                  <pic:spPr>
                    <a:xfrm>
                      <a:off x="0" y="0"/>
                      <a:ext cx="3316677" cy="1922333"/>
                    </a:xfrm>
                    <a:prstGeom prst="rect">
                      <a:avLst/>
                    </a:prstGeom>
                  </pic:spPr>
                </pic:pic>
              </a:graphicData>
            </a:graphic>
          </wp:inline>
        </w:drawing>
      </w:r>
      <w:bookmarkStart w:id="0" w:name="Fuzhu"/>
      <w:bookmarkEnd w:id="0"/>
      <w:bookmarkStart w:id="1" w:name="attache_title"/>
      <w:bookmarkEnd w:id="1"/>
    </w:p>
    <w:p w14:paraId="2101CC59">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10FEC1E3">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5CCE156E">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19"/>
                    <a:stretch>
                      <a:fillRect/>
                    </a:stretch>
                  </pic:blipFill>
                  <pic:spPr>
                    <a:xfrm>
                      <a:off x="0" y="0"/>
                      <a:ext cx="3851275" cy="2245360"/>
                    </a:xfrm>
                    <a:prstGeom prst="rect">
                      <a:avLst/>
                    </a:prstGeom>
                  </pic:spPr>
                </pic:pic>
              </a:graphicData>
            </a:graphic>
          </wp:inline>
        </w:drawing>
      </w:r>
    </w:p>
    <w:p w14:paraId="2000E6AC">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44A060B4">
      <w:pPr>
        <w:pStyle w:val="4"/>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57EB4DFC">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20"/>
                    <a:stretch>
                      <a:fillRect/>
                    </a:stretch>
                  </pic:blipFill>
                  <pic:spPr>
                    <a:xfrm>
                      <a:off x="0" y="0"/>
                      <a:ext cx="5163185" cy="2213610"/>
                    </a:xfrm>
                    <a:prstGeom prst="rect">
                      <a:avLst/>
                    </a:prstGeom>
                  </pic:spPr>
                </pic:pic>
              </a:graphicData>
            </a:graphic>
          </wp:inline>
        </w:drawing>
      </w:r>
    </w:p>
    <w:p w14:paraId="0A9AA1B7">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6CCAB7E9">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0EE3D598">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2DE6A15C">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08F1307C">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0D9A9A38">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1524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1"/>
                    <a:stretch>
                      <a:fillRect/>
                    </a:stretch>
                  </pic:blipFill>
                  <pic:spPr>
                    <a:xfrm rot="10800000" flipH="1" flipV="1">
                      <a:off x="0" y="0"/>
                      <a:ext cx="4333875" cy="2213610"/>
                    </a:xfrm>
                    <a:prstGeom prst="rect">
                      <a:avLst/>
                    </a:prstGeom>
                  </pic:spPr>
                </pic:pic>
              </a:graphicData>
            </a:graphic>
          </wp:inline>
        </w:drawing>
      </w:r>
    </w:p>
    <w:p w14:paraId="1C72860D">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157C1D95">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72ABB12F">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7B81A555">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8370"/>
            <wp:effectExtent l="0" t="0" r="6985" b="11430"/>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14:paraId="06E0EA3B">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01018820">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3A3D3733">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3"/>
                    <a:stretch>
                      <a:fillRect/>
                    </a:stretch>
                  </pic:blipFill>
                  <pic:spPr>
                    <a:xfrm>
                      <a:off x="0" y="0"/>
                      <a:ext cx="3131185" cy="2522855"/>
                    </a:xfrm>
                    <a:prstGeom prst="rect">
                      <a:avLst/>
                    </a:prstGeom>
                  </pic:spPr>
                </pic:pic>
              </a:graphicData>
            </a:graphic>
          </wp:inline>
        </w:drawing>
      </w:r>
    </w:p>
    <w:p w14:paraId="26E55E04">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77B9AE17">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1EF5463E">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4"/>
                    <a:stretch>
                      <a:fillRect/>
                    </a:stretch>
                  </pic:blipFill>
                  <pic:spPr>
                    <a:xfrm>
                      <a:off x="0" y="0"/>
                      <a:ext cx="3330575" cy="2741930"/>
                    </a:xfrm>
                    <a:prstGeom prst="rect">
                      <a:avLst/>
                    </a:prstGeom>
                  </pic:spPr>
                </pic:pic>
              </a:graphicData>
            </a:graphic>
          </wp:inline>
        </w:drawing>
      </w:r>
    </w:p>
    <w:p w14:paraId="4F02F148">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092A0158">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3F116E41">
      <w:pPr>
        <w:pStyle w:val="4"/>
        <w:adjustRightInd w:val="0"/>
        <w:snapToGrid w:val="0"/>
        <w:spacing w:after="0" w:line="336" w:lineRule="auto"/>
        <w:ind w:firstLine="680" w:firstLineChars="200"/>
        <w:jc w:val="left"/>
        <w:rPr>
          <w:rFonts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34FAE802">
      <w:pPr>
        <w:spacing w:before="104" w:line="224" w:lineRule="auto"/>
        <w:ind w:left="619"/>
        <w:rPr>
          <w:rFonts w:hint="eastAsia" w:ascii="黑体" w:hAnsi="黑体" w:eastAsia="黑体" w:cs="黑体"/>
          <w:spacing w:val="8"/>
          <w:sz w:val="32"/>
          <w:szCs w:val="32"/>
        </w:rPr>
        <w:sectPr>
          <w:pgSz w:w="11906" w:h="16838"/>
          <w:pgMar w:top="1440" w:right="1531" w:bottom="1440" w:left="1531" w:header="851" w:footer="992" w:gutter="0"/>
          <w:pgNumType w:fmt="numberInDash"/>
          <w:cols w:space="425" w:num="1"/>
          <w:docGrid w:type="lines" w:linePitch="312" w:charSpace="0"/>
        </w:sectPr>
      </w:pPr>
    </w:p>
    <w:p w14:paraId="661962EC">
      <w:pPr>
        <w:spacing w:before="98" w:line="231" w:lineRule="auto"/>
        <w:ind w:left="352"/>
        <w:rPr>
          <w:rFonts w:ascii="黑体" w:hAnsi="黑体" w:eastAsia="黑体" w:cs="黑体"/>
          <w:sz w:val="30"/>
          <w:szCs w:val="30"/>
        </w:rPr>
      </w:pPr>
      <w:r>
        <w:rPr>
          <w:rFonts w:ascii="黑体" w:hAnsi="黑体" w:eastAsia="黑体" w:cs="黑体"/>
          <w:spacing w:val="3"/>
          <w:sz w:val="30"/>
          <w:szCs w:val="30"/>
        </w:rPr>
        <w:t>附件2</w:t>
      </w:r>
    </w:p>
    <w:p w14:paraId="186AE721">
      <w:pPr>
        <w:keepNext w:val="0"/>
        <w:keepLines w:val="0"/>
        <w:pageBreakBefore w:val="0"/>
        <w:widowControl w:val="0"/>
        <w:kinsoku/>
        <w:wordWrap/>
        <w:overflowPunct/>
        <w:topLinePunct w:val="0"/>
        <w:autoSpaceDE/>
        <w:autoSpaceDN/>
        <w:bidi w:val="0"/>
        <w:adjustRightInd/>
        <w:snapToGrid/>
        <w:spacing w:before="42" w:line="360" w:lineRule="auto"/>
        <w:jc w:val="center"/>
        <w:textAlignment w:val="auto"/>
        <w:rPr>
          <w:rFonts w:hint="eastAsia" w:ascii="方正小标宋简体" w:hAnsi="方正小标宋简体" w:eastAsia="方正小标宋简体" w:cs="方正小标宋简体"/>
          <w:snapToGrid/>
          <w:kern w:val="2"/>
          <w:sz w:val="50"/>
          <w:szCs w:val="50"/>
          <w:lang w:eastAsia="zh-CN"/>
        </w:rPr>
      </w:pPr>
      <w:r>
        <w:rPr>
          <w:rFonts w:hint="eastAsia" w:ascii="方正小标宋简体" w:hAnsi="方正小标宋简体" w:eastAsia="方正小标宋简体" w:cs="方正小标宋简体"/>
          <w:snapToGrid/>
          <w:kern w:val="2"/>
          <w:sz w:val="50"/>
          <w:szCs w:val="50"/>
          <w:lang w:eastAsia="zh-CN"/>
        </w:rPr>
        <w:t>云南省元江哈尼族彝族傣族自治县烟草制品零售点合理布局公示表</w:t>
      </w:r>
    </w:p>
    <w:p w14:paraId="713FFC85">
      <w:pPr>
        <w:spacing w:before="180" w:line="272" w:lineRule="exact"/>
        <w:ind w:left="313"/>
        <w:rPr>
          <w:rFonts w:ascii="宋体" w:hAnsi="宋体" w:eastAsia="宋体" w:cs="宋体"/>
          <w:sz w:val="19"/>
          <w:szCs w:val="19"/>
        </w:rPr>
      </w:pPr>
      <w:r>
        <w:rPr>
          <w:rFonts w:ascii="宋体" w:hAnsi="宋体" w:eastAsia="宋体" w:cs="宋体"/>
          <w:spacing w:val="8"/>
          <w:position w:val="1"/>
          <w:sz w:val="19"/>
          <w:szCs w:val="19"/>
        </w:rPr>
        <w:t xml:space="preserve">单位：云南省元江哈尼族彝族傣族自治县烟草专卖局                                     </w:t>
      </w:r>
      <w:r>
        <w:rPr>
          <w:rFonts w:ascii="宋体" w:hAnsi="宋体" w:eastAsia="宋体" w:cs="宋体"/>
          <w:spacing w:val="7"/>
          <w:position w:val="1"/>
          <w:sz w:val="19"/>
          <w:szCs w:val="19"/>
        </w:rPr>
        <w:t xml:space="preserve"> 公示时间：</w:t>
      </w:r>
      <w:r>
        <w:rPr>
          <w:rFonts w:hint="eastAsia" w:ascii="Arial" w:hAnsi="Arial" w:eastAsia="宋体" w:cs="Arial"/>
          <w:spacing w:val="7"/>
          <w:position w:val="1"/>
          <w:sz w:val="19"/>
          <w:szCs w:val="19"/>
          <w:lang w:val="en-US" w:eastAsia="zh-CN"/>
        </w:rPr>
        <w:t xml:space="preserve">    </w:t>
      </w:r>
      <w:r>
        <w:rPr>
          <w:rFonts w:ascii="Arial" w:hAnsi="Arial" w:eastAsia="Arial" w:cs="Arial"/>
          <w:spacing w:val="18"/>
          <w:position w:val="1"/>
          <w:sz w:val="19"/>
          <w:szCs w:val="19"/>
        </w:rPr>
        <w:t xml:space="preserve"> </w:t>
      </w:r>
      <w:r>
        <w:rPr>
          <w:rFonts w:ascii="宋体" w:hAnsi="宋体" w:eastAsia="宋体" w:cs="宋体"/>
          <w:spacing w:val="7"/>
          <w:position w:val="1"/>
          <w:sz w:val="19"/>
          <w:szCs w:val="19"/>
        </w:rPr>
        <w:t>年</w:t>
      </w:r>
      <w:r>
        <w:rPr>
          <w:rFonts w:hint="eastAsia" w:ascii="宋体" w:hAnsi="宋体" w:cs="宋体"/>
          <w:spacing w:val="-24"/>
          <w:position w:val="1"/>
          <w:sz w:val="19"/>
          <w:szCs w:val="19"/>
          <w:lang w:val="en-US" w:eastAsia="zh-CN"/>
        </w:rPr>
        <w:t xml:space="preserve">    </w:t>
      </w:r>
      <w:r>
        <w:rPr>
          <w:rFonts w:ascii="Arial" w:hAnsi="Arial" w:eastAsia="Arial" w:cs="Arial"/>
          <w:spacing w:val="26"/>
          <w:w w:val="101"/>
          <w:position w:val="1"/>
          <w:sz w:val="19"/>
          <w:szCs w:val="19"/>
        </w:rPr>
        <w:t xml:space="preserve"> </w:t>
      </w:r>
      <w:r>
        <w:rPr>
          <w:rFonts w:hint="eastAsia" w:ascii="Arial" w:hAnsi="Arial" w:eastAsia="宋体" w:cs="Arial"/>
          <w:spacing w:val="26"/>
          <w:w w:val="101"/>
          <w:position w:val="1"/>
          <w:sz w:val="19"/>
          <w:szCs w:val="19"/>
          <w:lang w:val="en-US" w:eastAsia="zh-CN"/>
        </w:rPr>
        <w:t xml:space="preserve">  </w:t>
      </w:r>
      <w:r>
        <w:rPr>
          <w:rFonts w:ascii="宋体" w:hAnsi="宋体" w:eastAsia="宋体" w:cs="宋体"/>
          <w:spacing w:val="7"/>
          <w:position w:val="1"/>
          <w:sz w:val="19"/>
          <w:szCs w:val="19"/>
        </w:rPr>
        <w:t>月</w:t>
      </w:r>
      <w:r>
        <w:rPr>
          <w:rFonts w:ascii="宋体" w:hAnsi="宋体" w:eastAsia="宋体" w:cs="宋体"/>
          <w:spacing w:val="-22"/>
          <w:position w:val="1"/>
          <w:sz w:val="19"/>
          <w:szCs w:val="19"/>
        </w:rPr>
        <w:t xml:space="preserve"> </w:t>
      </w:r>
      <w:r>
        <w:rPr>
          <w:rFonts w:hint="eastAsia" w:ascii="Arial" w:hAnsi="Arial" w:eastAsia="宋体" w:cs="Arial"/>
          <w:spacing w:val="7"/>
          <w:position w:val="1"/>
          <w:sz w:val="19"/>
          <w:szCs w:val="19"/>
          <w:lang w:val="en-US" w:eastAsia="zh-CN"/>
        </w:rPr>
        <w:t xml:space="preserve">    </w:t>
      </w:r>
      <w:r>
        <w:rPr>
          <w:rFonts w:ascii="Arial" w:hAnsi="Arial" w:eastAsia="Arial" w:cs="Arial"/>
          <w:spacing w:val="7"/>
          <w:position w:val="1"/>
          <w:sz w:val="19"/>
          <w:szCs w:val="19"/>
        </w:rPr>
        <w:t xml:space="preserve"> </w:t>
      </w:r>
      <w:r>
        <w:rPr>
          <w:rFonts w:ascii="宋体" w:hAnsi="宋体" w:eastAsia="宋体" w:cs="宋体"/>
          <w:spacing w:val="7"/>
          <w:position w:val="1"/>
          <w:sz w:val="19"/>
          <w:szCs w:val="19"/>
        </w:rPr>
        <w:t>日</w:t>
      </w:r>
      <w:r>
        <w:rPr>
          <w:rFonts w:hint="eastAsia" w:ascii="宋体" w:hAnsi="宋体" w:eastAsia="宋体" w:cs="宋体"/>
          <w:spacing w:val="7"/>
          <w:position w:val="1"/>
          <w:sz w:val="19"/>
          <w:szCs w:val="19"/>
          <w:lang w:val="en-US" w:eastAsia="zh-CN"/>
        </w:rPr>
        <w:t xml:space="preserve"> </w:t>
      </w:r>
      <w:r>
        <w:rPr>
          <w:rFonts w:hint="eastAsia" w:ascii="Arial" w:hAnsi="Arial" w:eastAsia="宋体" w:cs="Arial"/>
          <w:spacing w:val="7"/>
          <w:position w:val="1"/>
          <w:sz w:val="19"/>
          <w:szCs w:val="19"/>
          <w:lang w:val="en-US" w:eastAsia="zh-CN"/>
        </w:rPr>
        <w:t xml:space="preserve">    </w:t>
      </w:r>
      <w:r>
        <w:rPr>
          <w:rFonts w:ascii="宋体" w:hAnsi="宋体" w:eastAsia="宋体" w:cs="宋体"/>
          <w:spacing w:val="7"/>
          <w:position w:val="1"/>
          <w:sz w:val="19"/>
          <w:szCs w:val="19"/>
        </w:rPr>
        <w:t>年</w:t>
      </w:r>
      <w:r>
        <w:rPr>
          <w:rFonts w:hint="eastAsia" w:ascii="宋体" w:hAnsi="宋体" w:cs="宋体"/>
          <w:spacing w:val="-27"/>
          <w:position w:val="1"/>
          <w:sz w:val="19"/>
          <w:szCs w:val="19"/>
          <w:lang w:val="en-US" w:eastAsia="zh-CN"/>
        </w:rPr>
        <w:t xml:space="preserve">       </w:t>
      </w:r>
      <w:r>
        <w:rPr>
          <w:rFonts w:hint="eastAsia" w:eastAsia="宋体" w:cs="Arial"/>
          <w:spacing w:val="7"/>
          <w:position w:val="1"/>
          <w:sz w:val="19"/>
          <w:szCs w:val="19"/>
          <w:lang w:val="en-US" w:eastAsia="zh-CN"/>
        </w:rPr>
        <w:t xml:space="preserve"> </w:t>
      </w:r>
      <w:r>
        <w:rPr>
          <w:rFonts w:ascii="宋体" w:hAnsi="宋体" w:eastAsia="宋体" w:cs="宋体"/>
          <w:spacing w:val="7"/>
          <w:position w:val="1"/>
          <w:sz w:val="19"/>
          <w:szCs w:val="19"/>
        </w:rPr>
        <w:t>月</w:t>
      </w:r>
      <w:r>
        <w:rPr>
          <w:rFonts w:hint="eastAsia" w:ascii="Arial" w:hAnsi="Arial" w:eastAsia="宋体" w:cs="Arial"/>
          <w:spacing w:val="7"/>
          <w:position w:val="1"/>
          <w:sz w:val="19"/>
          <w:szCs w:val="19"/>
          <w:lang w:val="en-US" w:eastAsia="zh-CN"/>
        </w:rPr>
        <w:t xml:space="preserve">    </w:t>
      </w:r>
      <w:r>
        <w:rPr>
          <w:rFonts w:ascii="Arial" w:hAnsi="Arial" w:eastAsia="Arial" w:cs="Arial"/>
          <w:spacing w:val="24"/>
          <w:w w:val="101"/>
          <w:position w:val="1"/>
          <w:sz w:val="19"/>
          <w:szCs w:val="19"/>
        </w:rPr>
        <w:t xml:space="preserve"> </w:t>
      </w:r>
      <w:r>
        <w:rPr>
          <w:rFonts w:ascii="宋体" w:hAnsi="宋体" w:eastAsia="宋体" w:cs="宋体"/>
          <w:spacing w:val="7"/>
          <w:position w:val="1"/>
          <w:sz w:val="19"/>
          <w:szCs w:val="19"/>
        </w:rPr>
        <w:t>日</w:t>
      </w:r>
    </w:p>
    <w:p w14:paraId="0EFFA826">
      <w:pPr>
        <w:spacing w:line="80" w:lineRule="auto"/>
        <w:rPr>
          <w:rFonts w:ascii="Arial"/>
          <w:sz w:val="2"/>
        </w:rPr>
      </w:pPr>
    </w:p>
    <w:tbl>
      <w:tblPr>
        <w:tblStyle w:val="24"/>
        <w:tblW w:w="152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2"/>
        <w:gridCol w:w="1007"/>
        <w:gridCol w:w="2433"/>
        <w:gridCol w:w="918"/>
        <w:gridCol w:w="1112"/>
        <w:gridCol w:w="811"/>
        <w:gridCol w:w="1197"/>
        <w:gridCol w:w="5290"/>
        <w:gridCol w:w="1516"/>
        <w:gridCol w:w="373"/>
      </w:tblGrid>
      <w:tr w14:paraId="327A4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02" w:type="dxa"/>
            <w:textDirection w:val="tbRlV"/>
            <w:vAlign w:val="top"/>
          </w:tcPr>
          <w:p w14:paraId="4414B9E9">
            <w:pPr>
              <w:pStyle w:val="25"/>
              <w:spacing w:before="195" w:line="201" w:lineRule="auto"/>
              <w:ind w:left="41"/>
              <w:rPr>
                <w:snapToGrid w:val="0"/>
                <w:color w:val="000000"/>
                <w:sz w:val="24"/>
                <w:szCs w:val="24"/>
              </w:rPr>
            </w:pPr>
            <w:r>
              <w:rPr>
                <w:b/>
                <w:bCs/>
                <w:snapToGrid w:val="0"/>
                <w:color w:val="000000"/>
                <w:spacing w:val="14"/>
                <w:sz w:val="24"/>
                <w:szCs w:val="24"/>
              </w:rPr>
              <w:t>名称</w:t>
            </w:r>
          </w:p>
        </w:tc>
        <w:tc>
          <w:tcPr>
            <w:tcW w:w="3440" w:type="dxa"/>
            <w:gridSpan w:val="2"/>
            <w:vAlign w:val="top"/>
          </w:tcPr>
          <w:p w14:paraId="6FFCFC04">
            <w:pPr>
              <w:pStyle w:val="25"/>
              <w:spacing w:before="209" w:line="219" w:lineRule="auto"/>
              <w:ind w:left="771"/>
              <w:rPr>
                <w:snapToGrid w:val="0"/>
                <w:color w:val="000000"/>
                <w:sz w:val="24"/>
                <w:szCs w:val="24"/>
              </w:rPr>
            </w:pPr>
            <w:r>
              <w:rPr>
                <w:b/>
                <w:bCs/>
                <w:snapToGrid w:val="0"/>
                <w:color w:val="000000"/>
                <w:spacing w:val="-7"/>
                <w:sz w:val="24"/>
                <w:szCs w:val="24"/>
              </w:rPr>
              <w:t>单元网格划分情况</w:t>
            </w:r>
          </w:p>
        </w:tc>
        <w:tc>
          <w:tcPr>
            <w:tcW w:w="2841" w:type="dxa"/>
            <w:gridSpan w:val="3"/>
            <w:vAlign w:val="top"/>
          </w:tcPr>
          <w:p w14:paraId="64094D72">
            <w:pPr>
              <w:pStyle w:val="25"/>
              <w:spacing w:before="209" w:line="219" w:lineRule="auto"/>
              <w:ind w:left="473"/>
              <w:rPr>
                <w:snapToGrid w:val="0"/>
                <w:color w:val="000000"/>
                <w:sz w:val="24"/>
                <w:szCs w:val="24"/>
              </w:rPr>
            </w:pPr>
            <w:r>
              <w:rPr>
                <w:b/>
                <w:bCs/>
                <w:snapToGrid w:val="0"/>
                <w:color w:val="000000"/>
                <w:spacing w:val="-7"/>
                <w:sz w:val="24"/>
                <w:szCs w:val="24"/>
              </w:rPr>
              <w:t>单元网格数量情况</w:t>
            </w:r>
          </w:p>
        </w:tc>
        <w:tc>
          <w:tcPr>
            <w:tcW w:w="6487" w:type="dxa"/>
            <w:gridSpan w:val="2"/>
            <w:vAlign w:val="top"/>
          </w:tcPr>
          <w:p w14:paraId="360E698A">
            <w:pPr>
              <w:pStyle w:val="25"/>
              <w:spacing w:before="209" w:line="219" w:lineRule="auto"/>
              <w:ind w:left="2300"/>
              <w:rPr>
                <w:snapToGrid w:val="0"/>
                <w:color w:val="000000"/>
                <w:sz w:val="24"/>
                <w:szCs w:val="24"/>
              </w:rPr>
            </w:pPr>
            <w:r>
              <w:rPr>
                <w:b/>
                <w:bCs/>
                <w:snapToGrid w:val="0"/>
                <w:color w:val="000000"/>
                <w:spacing w:val="-7"/>
                <w:sz w:val="24"/>
                <w:szCs w:val="24"/>
              </w:rPr>
              <w:t>单元网格距离情况</w:t>
            </w:r>
          </w:p>
        </w:tc>
        <w:tc>
          <w:tcPr>
            <w:tcW w:w="1516" w:type="dxa"/>
            <w:vAlign w:val="top"/>
          </w:tcPr>
          <w:p w14:paraId="7261DED7">
            <w:pPr>
              <w:pStyle w:val="25"/>
              <w:spacing w:before="208" w:line="220" w:lineRule="auto"/>
              <w:ind w:left="310"/>
              <w:rPr>
                <w:snapToGrid w:val="0"/>
                <w:color w:val="000000"/>
                <w:sz w:val="24"/>
                <w:szCs w:val="24"/>
              </w:rPr>
            </w:pPr>
            <w:r>
              <w:rPr>
                <w:b/>
                <w:bCs/>
                <w:snapToGrid w:val="0"/>
                <w:color w:val="000000"/>
                <w:spacing w:val="-9"/>
                <w:sz w:val="24"/>
                <w:szCs w:val="24"/>
              </w:rPr>
              <w:t>总量情况</w:t>
            </w:r>
          </w:p>
        </w:tc>
        <w:tc>
          <w:tcPr>
            <w:tcW w:w="373" w:type="dxa"/>
            <w:vMerge w:val="restart"/>
            <w:tcBorders>
              <w:bottom w:val="nil"/>
            </w:tcBorders>
            <w:textDirection w:val="tbRlV"/>
            <w:vAlign w:val="top"/>
          </w:tcPr>
          <w:p w14:paraId="5F647EAC">
            <w:pPr>
              <w:pStyle w:val="25"/>
              <w:spacing w:before="27" w:line="201" w:lineRule="auto"/>
              <w:ind w:left="418"/>
              <w:rPr>
                <w:snapToGrid w:val="0"/>
                <w:color w:val="000000"/>
                <w:sz w:val="24"/>
                <w:szCs w:val="24"/>
              </w:rPr>
            </w:pPr>
            <w:r>
              <w:rPr>
                <w:b/>
                <w:bCs/>
                <w:snapToGrid w:val="0"/>
                <w:color w:val="000000"/>
                <w:spacing w:val="14"/>
                <w:sz w:val="24"/>
                <w:szCs w:val="24"/>
              </w:rPr>
              <w:t>备注</w:t>
            </w:r>
          </w:p>
        </w:tc>
      </w:tr>
      <w:tr w14:paraId="19623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602" w:type="dxa"/>
            <w:vMerge w:val="restart"/>
            <w:tcBorders>
              <w:bottom w:val="nil"/>
            </w:tcBorders>
            <w:textDirection w:val="tbRlV"/>
            <w:vAlign w:val="top"/>
          </w:tcPr>
          <w:p w14:paraId="16DB3CAA">
            <w:pPr>
              <w:pStyle w:val="25"/>
              <w:spacing w:before="197" w:line="202" w:lineRule="auto"/>
              <w:ind w:left="1131"/>
              <w:rPr>
                <w:snapToGrid w:val="0"/>
                <w:color w:val="000000"/>
              </w:rPr>
            </w:pPr>
            <w:r>
              <w:rPr>
                <w:snapToGrid w:val="0"/>
                <w:color w:val="000000"/>
                <w:spacing w:val="22"/>
                <w:w w:val="116"/>
              </w:rPr>
              <w:t>云南省元江哈尼族彝族傣族自治县</w:t>
            </w:r>
          </w:p>
        </w:tc>
        <w:tc>
          <w:tcPr>
            <w:tcW w:w="1007" w:type="dxa"/>
            <w:vAlign w:val="top"/>
          </w:tcPr>
          <w:p w14:paraId="7C90B041">
            <w:pPr>
              <w:pStyle w:val="25"/>
              <w:spacing w:before="278" w:line="222" w:lineRule="auto"/>
              <w:ind w:left="298"/>
              <w:rPr>
                <w:snapToGrid w:val="0"/>
                <w:color w:val="000000"/>
              </w:rPr>
            </w:pPr>
            <w:r>
              <w:rPr>
                <w:snapToGrid w:val="0"/>
                <w:color w:val="000000"/>
                <w:spacing w:val="-6"/>
              </w:rPr>
              <w:t>名称</w:t>
            </w:r>
          </w:p>
        </w:tc>
        <w:tc>
          <w:tcPr>
            <w:tcW w:w="2433" w:type="dxa"/>
            <w:vAlign w:val="top"/>
          </w:tcPr>
          <w:p w14:paraId="32D538B7">
            <w:pPr>
              <w:pStyle w:val="25"/>
              <w:spacing w:before="278" w:line="221" w:lineRule="auto"/>
              <w:ind w:left="819"/>
              <w:rPr>
                <w:snapToGrid w:val="0"/>
                <w:color w:val="000000"/>
              </w:rPr>
            </w:pPr>
            <w:r>
              <w:rPr>
                <w:snapToGrid w:val="0"/>
                <w:color w:val="000000"/>
                <w:spacing w:val="-10"/>
              </w:rPr>
              <w:t>区域描述</w:t>
            </w:r>
          </w:p>
        </w:tc>
        <w:tc>
          <w:tcPr>
            <w:tcW w:w="918" w:type="dxa"/>
            <w:vAlign w:val="top"/>
          </w:tcPr>
          <w:p w14:paraId="56CB66CE">
            <w:pPr>
              <w:pStyle w:val="25"/>
              <w:spacing w:before="141" w:line="220" w:lineRule="auto"/>
              <w:ind w:left="142"/>
              <w:rPr>
                <w:snapToGrid w:val="0"/>
                <w:color w:val="000000"/>
              </w:rPr>
            </w:pPr>
            <w:r>
              <w:rPr>
                <w:snapToGrid w:val="0"/>
                <w:color w:val="000000"/>
                <w:spacing w:val="-5"/>
              </w:rPr>
              <w:t>规划数</w:t>
            </w:r>
          </w:p>
          <w:p w14:paraId="4B83C802">
            <w:pPr>
              <w:pStyle w:val="25"/>
              <w:spacing w:before="11" w:line="220" w:lineRule="auto"/>
              <w:ind w:left="152"/>
              <w:rPr>
                <w:snapToGrid w:val="0"/>
                <w:color w:val="000000"/>
              </w:rPr>
            </w:pPr>
            <w:r>
              <w:rPr>
                <w:snapToGrid w:val="0"/>
                <w:color w:val="000000"/>
                <w:spacing w:val="-9"/>
              </w:rPr>
              <w:t>（个）</w:t>
            </w:r>
          </w:p>
        </w:tc>
        <w:tc>
          <w:tcPr>
            <w:tcW w:w="1112" w:type="dxa"/>
            <w:vAlign w:val="top"/>
          </w:tcPr>
          <w:p w14:paraId="074F3E2C">
            <w:pPr>
              <w:pStyle w:val="25"/>
              <w:spacing w:before="141" w:line="221" w:lineRule="auto"/>
              <w:ind w:left="156"/>
              <w:rPr>
                <w:snapToGrid w:val="0"/>
                <w:color w:val="000000"/>
              </w:rPr>
            </w:pPr>
            <w:r>
              <w:rPr>
                <w:snapToGrid w:val="0"/>
                <w:color w:val="000000"/>
                <w:spacing w:val="-9"/>
              </w:rPr>
              <w:t>当前实际</w:t>
            </w:r>
          </w:p>
          <w:p w14:paraId="7E8148D7">
            <w:pPr>
              <w:pStyle w:val="25"/>
              <w:spacing w:before="10" w:line="220" w:lineRule="auto"/>
              <w:ind w:left="132"/>
              <w:rPr>
                <w:snapToGrid w:val="0"/>
                <w:color w:val="000000"/>
              </w:rPr>
            </w:pPr>
            <w:r>
              <w:rPr>
                <w:snapToGrid w:val="0"/>
                <w:color w:val="000000"/>
                <w:spacing w:val="-4"/>
              </w:rPr>
              <w:t>数（个）</w:t>
            </w:r>
          </w:p>
        </w:tc>
        <w:tc>
          <w:tcPr>
            <w:tcW w:w="811" w:type="dxa"/>
            <w:vAlign w:val="top"/>
          </w:tcPr>
          <w:p w14:paraId="7DE25029">
            <w:pPr>
              <w:pStyle w:val="25"/>
              <w:spacing w:before="141" w:line="221" w:lineRule="auto"/>
              <w:ind w:left="198"/>
              <w:rPr>
                <w:snapToGrid w:val="0"/>
                <w:color w:val="000000"/>
              </w:rPr>
            </w:pPr>
            <w:r>
              <w:rPr>
                <w:snapToGrid w:val="0"/>
                <w:color w:val="000000"/>
                <w:spacing w:val="-5"/>
              </w:rPr>
              <w:t>余量</w:t>
            </w:r>
          </w:p>
          <w:p w14:paraId="0D1CBD87">
            <w:pPr>
              <w:pStyle w:val="25"/>
              <w:spacing w:before="10" w:line="220" w:lineRule="auto"/>
              <w:ind w:left="134"/>
              <w:rPr>
                <w:snapToGrid w:val="0"/>
                <w:color w:val="000000"/>
              </w:rPr>
            </w:pPr>
            <w:r>
              <w:rPr>
                <w:snapToGrid w:val="0"/>
                <w:color w:val="000000"/>
                <w:spacing w:val="-9"/>
              </w:rPr>
              <w:t>（个）</w:t>
            </w:r>
          </w:p>
        </w:tc>
        <w:tc>
          <w:tcPr>
            <w:tcW w:w="1197" w:type="dxa"/>
            <w:vAlign w:val="top"/>
          </w:tcPr>
          <w:p w14:paraId="1D09865A">
            <w:pPr>
              <w:pStyle w:val="25"/>
              <w:spacing w:before="141" w:line="220" w:lineRule="auto"/>
              <w:ind w:left="171"/>
              <w:rPr>
                <w:snapToGrid w:val="0"/>
                <w:color w:val="000000"/>
              </w:rPr>
            </w:pPr>
            <w:r>
              <w:rPr>
                <w:snapToGrid w:val="0"/>
                <w:color w:val="000000"/>
                <w:spacing w:val="-4"/>
              </w:rPr>
              <w:t>零售点距</w:t>
            </w:r>
          </w:p>
          <w:p w14:paraId="2A4CE478">
            <w:pPr>
              <w:pStyle w:val="25"/>
              <w:spacing w:before="11" w:line="220" w:lineRule="auto"/>
              <w:ind w:left="292"/>
              <w:rPr>
                <w:snapToGrid w:val="0"/>
                <w:color w:val="000000"/>
              </w:rPr>
            </w:pPr>
            <w:r>
              <w:rPr>
                <w:snapToGrid w:val="0"/>
                <w:color w:val="000000"/>
                <w:spacing w:val="-7"/>
              </w:rPr>
              <w:t>（米）</w:t>
            </w:r>
          </w:p>
        </w:tc>
        <w:tc>
          <w:tcPr>
            <w:tcW w:w="5290" w:type="dxa"/>
            <w:vAlign w:val="top"/>
          </w:tcPr>
          <w:p w14:paraId="23CC1821">
            <w:pPr>
              <w:pStyle w:val="25"/>
              <w:spacing w:before="275" w:line="220" w:lineRule="auto"/>
              <w:ind w:left="2001"/>
              <w:rPr>
                <w:snapToGrid w:val="0"/>
                <w:color w:val="000000"/>
              </w:rPr>
            </w:pPr>
            <w:r>
              <w:rPr>
                <w:snapToGrid w:val="0"/>
                <w:color w:val="000000"/>
                <w:spacing w:val="-3"/>
              </w:rPr>
              <w:t>其他条件描述</w:t>
            </w:r>
          </w:p>
        </w:tc>
        <w:tc>
          <w:tcPr>
            <w:tcW w:w="1516" w:type="dxa"/>
            <w:vAlign w:val="top"/>
          </w:tcPr>
          <w:p w14:paraId="2A239523">
            <w:pPr>
              <w:pStyle w:val="25"/>
              <w:spacing w:before="140" w:line="232" w:lineRule="auto"/>
              <w:ind w:left="126" w:right="112" w:firstLine="101"/>
              <w:rPr>
                <w:snapToGrid w:val="0"/>
                <w:color w:val="000000"/>
              </w:rPr>
            </w:pPr>
            <w:r>
              <w:rPr>
                <w:snapToGrid w:val="0"/>
                <w:color w:val="000000"/>
                <w:spacing w:val="-4"/>
              </w:rPr>
              <w:t>元江县总量</w:t>
            </w:r>
            <w:r>
              <w:rPr>
                <w:snapToGrid w:val="0"/>
                <w:color w:val="000000"/>
              </w:rPr>
              <w:t xml:space="preserve"> </w:t>
            </w:r>
            <w:r>
              <w:rPr>
                <w:snapToGrid w:val="0"/>
                <w:color w:val="000000"/>
                <w:spacing w:val="-9"/>
              </w:rPr>
              <w:t>规划数（个）</w:t>
            </w:r>
          </w:p>
        </w:tc>
        <w:tc>
          <w:tcPr>
            <w:tcW w:w="373" w:type="dxa"/>
            <w:vMerge w:val="continue"/>
            <w:tcBorders>
              <w:top w:val="nil"/>
            </w:tcBorders>
            <w:textDirection w:val="tbRlV"/>
            <w:vAlign w:val="top"/>
          </w:tcPr>
          <w:p w14:paraId="5B0870E3">
            <w:pPr>
              <w:rPr>
                <w:rFonts w:ascii="Arial"/>
                <w:snapToGrid w:val="0"/>
                <w:color w:val="000000"/>
                <w:sz w:val="21"/>
              </w:rPr>
            </w:pPr>
          </w:p>
        </w:tc>
      </w:tr>
      <w:tr w14:paraId="03FA9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602" w:type="dxa"/>
            <w:vMerge w:val="continue"/>
            <w:tcBorders>
              <w:top w:val="nil"/>
              <w:bottom w:val="nil"/>
            </w:tcBorders>
            <w:textDirection w:val="tbRlV"/>
            <w:vAlign w:val="top"/>
          </w:tcPr>
          <w:p w14:paraId="7DA2A4D5">
            <w:pPr>
              <w:rPr>
                <w:rFonts w:ascii="Arial"/>
                <w:snapToGrid w:val="0"/>
                <w:color w:val="000000"/>
                <w:sz w:val="21"/>
              </w:rPr>
            </w:pPr>
          </w:p>
        </w:tc>
        <w:tc>
          <w:tcPr>
            <w:tcW w:w="1007" w:type="dxa"/>
            <w:vAlign w:val="top"/>
          </w:tcPr>
          <w:p w14:paraId="1DEFFAFD">
            <w:pPr>
              <w:pStyle w:val="25"/>
              <w:spacing w:before="55" w:line="218" w:lineRule="auto"/>
              <w:ind w:left="400" w:right="172" w:hanging="207"/>
              <w:rPr>
                <w:snapToGrid w:val="0"/>
                <w:color w:val="000000"/>
              </w:rPr>
            </w:pPr>
            <w:r>
              <w:rPr>
                <w:snapToGrid w:val="0"/>
                <w:color w:val="000000"/>
                <w:spacing w:val="-8"/>
              </w:rPr>
              <w:t>红河街</w:t>
            </w:r>
            <w:r>
              <w:rPr>
                <w:snapToGrid w:val="0"/>
                <w:color w:val="000000"/>
              </w:rPr>
              <w:t xml:space="preserve"> 道</w:t>
            </w:r>
          </w:p>
        </w:tc>
        <w:tc>
          <w:tcPr>
            <w:tcW w:w="2433" w:type="dxa"/>
            <w:vAlign w:val="top"/>
          </w:tcPr>
          <w:p w14:paraId="61D2C60E">
            <w:pPr>
              <w:pStyle w:val="25"/>
              <w:spacing w:before="193" w:line="220" w:lineRule="auto"/>
              <w:ind w:left="796"/>
              <w:rPr>
                <w:snapToGrid w:val="0"/>
                <w:color w:val="000000"/>
              </w:rPr>
            </w:pPr>
            <w:r>
              <w:rPr>
                <w:snapToGrid w:val="0"/>
                <w:color w:val="000000"/>
                <w:spacing w:val="-6"/>
              </w:rPr>
              <w:t>红河街道</w:t>
            </w:r>
          </w:p>
        </w:tc>
        <w:tc>
          <w:tcPr>
            <w:tcW w:w="918" w:type="dxa"/>
            <w:vAlign w:val="center"/>
          </w:tcPr>
          <w:p w14:paraId="7DE32B3E">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449</w:t>
            </w:r>
          </w:p>
        </w:tc>
        <w:tc>
          <w:tcPr>
            <w:tcW w:w="1112" w:type="dxa"/>
            <w:vAlign w:val="center"/>
          </w:tcPr>
          <w:p w14:paraId="237D48A2">
            <w:pPr>
              <w:keepNext w:val="0"/>
              <w:keepLines w:val="0"/>
              <w:widowControl/>
              <w:suppressLineNumbers w:val="0"/>
              <w:jc w:val="center"/>
              <w:textAlignment w:val="center"/>
              <w:rPr>
                <w:rFonts w:hint="default" w:eastAsia="宋体"/>
                <w:snapToGrid w:val="0"/>
                <w:color w:val="000000"/>
                <w:lang w:val="en-US" w:eastAsia="zh-CN"/>
              </w:rPr>
            </w:pPr>
            <w:r>
              <w:rPr>
                <w:rFonts w:hint="eastAsia" w:ascii="宋体" w:hAnsi="宋体" w:eastAsia="宋体" w:cs="宋体"/>
                <w:i w:val="0"/>
                <w:iCs w:val="0"/>
                <w:snapToGrid w:val="0"/>
                <w:color w:val="000000"/>
                <w:kern w:val="0"/>
                <w:sz w:val="22"/>
                <w:szCs w:val="22"/>
                <w:u w:val="none"/>
                <w:lang w:val="en-US" w:eastAsia="zh-CN" w:bidi="ar"/>
              </w:rPr>
              <w:t>442</w:t>
            </w:r>
          </w:p>
        </w:tc>
        <w:tc>
          <w:tcPr>
            <w:tcW w:w="811" w:type="dxa"/>
            <w:vAlign w:val="center"/>
          </w:tcPr>
          <w:p w14:paraId="16A1B724">
            <w:pPr>
              <w:keepNext w:val="0"/>
              <w:keepLines w:val="0"/>
              <w:widowControl/>
              <w:suppressLineNumbers w:val="0"/>
              <w:jc w:val="center"/>
              <w:textAlignment w:val="center"/>
              <w:rPr>
                <w:rFonts w:hint="default" w:eastAsia="宋体"/>
                <w:snapToGrid w:val="0"/>
                <w:color w:val="000000"/>
                <w:lang w:val="en-US" w:eastAsia="zh-CN"/>
              </w:rPr>
            </w:pPr>
            <w:r>
              <w:rPr>
                <w:rFonts w:hint="eastAsia" w:ascii="宋体" w:hAnsi="宋体" w:eastAsia="宋体" w:cs="宋体"/>
                <w:i w:val="0"/>
                <w:iCs w:val="0"/>
                <w:snapToGrid w:val="0"/>
                <w:color w:val="000000"/>
                <w:kern w:val="0"/>
                <w:sz w:val="22"/>
                <w:szCs w:val="22"/>
                <w:u w:val="none"/>
                <w:lang w:val="en-US" w:eastAsia="zh-CN" w:bidi="ar"/>
              </w:rPr>
              <w:t>7</w:t>
            </w:r>
          </w:p>
        </w:tc>
        <w:tc>
          <w:tcPr>
            <w:tcW w:w="1197" w:type="dxa"/>
            <w:vAlign w:val="center"/>
          </w:tcPr>
          <w:p w14:paraId="00C30B71">
            <w:pPr>
              <w:jc w:val="center"/>
              <w:textAlignment w:val="center"/>
              <w:rPr>
                <w:snapToGrid w:val="0"/>
                <w:color w:val="000000"/>
              </w:rPr>
            </w:pPr>
            <w:r>
              <w:rPr>
                <w:rFonts w:hint="eastAsia" w:ascii="宋体" w:hAnsi="宋体" w:eastAsia="宋体" w:cs="宋体"/>
                <w:snapToGrid w:val="0"/>
                <w:color w:val="000000"/>
                <w:sz w:val="22"/>
                <w:szCs w:val="22"/>
                <w:lang w:eastAsia="zh-CN"/>
              </w:rPr>
              <w:t>50</w:t>
            </w:r>
          </w:p>
        </w:tc>
        <w:tc>
          <w:tcPr>
            <w:tcW w:w="5290" w:type="dxa"/>
            <w:vMerge w:val="restart"/>
            <w:tcBorders>
              <w:bottom w:val="nil"/>
            </w:tcBorders>
            <w:vAlign w:val="top"/>
          </w:tcPr>
          <w:p w14:paraId="43C04960">
            <w:pPr>
              <w:spacing w:line="351" w:lineRule="auto"/>
              <w:rPr>
                <w:rFonts w:ascii="Arial"/>
                <w:snapToGrid w:val="0"/>
                <w:color w:val="000000"/>
                <w:sz w:val="21"/>
              </w:rPr>
            </w:pPr>
          </w:p>
          <w:p w14:paraId="159B9732">
            <w:pPr>
              <w:spacing w:line="351" w:lineRule="auto"/>
              <w:rPr>
                <w:rFonts w:ascii="Arial"/>
                <w:snapToGrid w:val="0"/>
                <w:color w:val="000000"/>
                <w:sz w:val="21"/>
              </w:rPr>
            </w:pPr>
          </w:p>
          <w:p w14:paraId="2CB5C47C">
            <w:pPr>
              <w:pStyle w:val="25"/>
              <w:spacing w:before="72" w:line="234" w:lineRule="auto"/>
              <w:ind w:left="117" w:right="33" w:firstLine="36"/>
              <w:rPr>
                <w:snapToGrid w:val="0"/>
                <w:color w:val="000000"/>
              </w:rPr>
            </w:pPr>
            <w:r>
              <w:rPr>
                <w:snapToGrid w:val="0"/>
                <w:color w:val="000000"/>
                <w:spacing w:val="1"/>
              </w:rPr>
              <w:t>1.人口较为集中、相对独立的综合性商（集、农）贸</w:t>
            </w:r>
            <w:r>
              <w:rPr>
                <w:snapToGrid w:val="0"/>
                <w:color w:val="000000"/>
                <w:spacing w:val="6"/>
              </w:rPr>
              <w:t xml:space="preserve"> </w:t>
            </w:r>
            <w:r>
              <w:rPr>
                <w:snapToGrid w:val="0"/>
                <w:color w:val="000000"/>
                <w:spacing w:val="-2"/>
              </w:rPr>
              <w:t>市场，根据该区域内固定商铺数量，每10个商铺设置1</w:t>
            </w:r>
            <w:r>
              <w:rPr>
                <w:snapToGrid w:val="0"/>
                <w:color w:val="000000"/>
                <w:spacing w:val="9"/>
              </w:rPr>
              <w:t xml:space="preserve"> </w:t>
            </w:r>
            <w:r>
              <w:rPr>
                <w:snapToGrid w:val="0"/>
                <w:color w:val="000000"/>
                <w:spacing w:val="2"/>
              </w:rPr>
              <w:t>个零售点，零售点间距不低于15米（含）, 且零售点</w:t>
            </w:r>
            <w:r>
              <w:rPr>
                <w:snapToGrid w:val="0"/>
                <w:color w:val="000000"/>
                <w:spacing w:val="15"/>
              </w:rPr>
              <w:t xml:space="preserve"> </w:t>
            </w:r>
            <w:r>
              <w:rPr>
                <w:snapToGrid w:val="0"/>
                <w:color w:val="000000"/>
                <w:spacing w:val="-2"/>
              </w:rPr>
              <w:t>不得超过该市场内商铺总数的10%。若该区域内固定商</w:t>
            </w:r>
            <w:r>
              <w:rPr>
                <w:snapToGrid w:val="0"/>
                <w:color w:val="000000"/>
                <w:spacing w:val="12"/>
              </w:rPr>
              <w:t xml:space="preserve"> </w:t>
            </w:r>
            <w:r>
              <w:rPr>
                <w:snapToGrid w:val="0"/>
                <w:color w:val="000000"/>
                <w:spacing w:val="-2"/>
              </w:rPr>
              <w:t>铺数量不足10个，且无零售点的，可设置1个零售点。</w:t>
            </w:r>
            <w:r>
              <w:rPr>
                <w:snapToGrid w:val="0"/>
                <w:color w:val="000000"/>
                <w:spacing w:val="12"/>
              </w:rPr>
              <w:t xml:space="preserve"> </w:t>
            </w:r>
            <w:r>
              <w:rPr>
                <w:snapToGrid w:val="0"/>
                <w:color w:val="000000"/>
                <w:spacing w:val="2"/>
              </w:rPr>
              <w:t>内外相通的临街铺面需同时达到内部数量限制和外围</w:t>
            </w:r>
            <w:r>
              <w:rPr>
                <w:snapToGrid w:val="0"/>
                <w:color w:val="000000"/>
                <w:spacing w:val="18"/>
              </w:rPr>
              <w:t xml:space="preserve"> </w:t>
            </w:r>
            <w:r>
              <w:rPr>
                <w:snapToGrid w:val="0"/>
                <w:color w:val="000000"/>
                <w:spacing w:val="-2"/>
              </w:rPr>
              <w:t>区域距离限制条件；</w:t>
            </w:r>
          </w:p>
          <w:p w14:paraId="20B8D411">
            <w:pPr>
              <w:pStyle w:val="25"/>
              <w:spacing w:before="40" w:line="232" w:lineRule="auto"/>
              <w:ind w:left="117" w:right="98" w:firstLine="8"/>
              <w:rPr>
                <w:snapToGrid w:val="0"/>
                <w:color w:val="000000"/>
              </w:rPr>
            </w:pPr>
            <w:r>
              <w:rPr>
                <w:snapToGrid w:val="0"/>
                <w:color w:val="000000"/>
              </w:rPr>
              <w:t xml:space="preserve">2.产业园区、特色小镇、旅游风景区、大型厂矿内， </w:t>
            </w:r>
            <w:r>
              <w:rPr>
                <w:snapToGrid w:val="0"/>
                <w:color w:val="000000"/>
                <w:spacing w:val="-4"/>
              </w:rPr>
              <w:t>根据该区域内固定商铺数量，每10个商铺设置1</w:t>
            </w:r>
            <w:r>
              <w:rPr>
                <w:snapToGrid w:val="0"/>
                <w:color w:val="000000"/>
                <w:spacing w:val="-5"/>
              </w:rPr>
              <w:t>个零售</w:t>
            </w:r>
            <w:r>
              <w:rPr>
                <w:snapToGrid w:val="0"/>
                <w:color w:val="000000"/>
              </w:rPr>
              <w:t xml:space="preserve"> </w:t>
            </w:r>
            <w:r>
              <w:rPr>
                <w:snapToGrid w:val="0"/>
                <w:color w:val="000000"/>
                <w:spacing w:val="-2"/>
              </w:rPr>
              <w:t>点，零售点间距不低于15米（含</w:t>
            </w:r>
            <w:r>
              <w:rPr>
                <w:snapToGrid w:val="0"/>
                <w:color w:val="000000"/>
                <w:spacing w:val="22"/>
              </w:rPr>
              <w:t>），</w:t>
            </w:r>
            <w:r>
              <w:rPr>
                <w:snapToGrid w:val="0"/>
                <w:color w:val="000000"/>
                <w:spacing w:val="-2"/>
              </w:rPr>
              <w:t>设置总量最多不</w:t>
            </w:r>
            <w:r>
              <w:rPr>
                <w:snapToGrid w:val="0"/>
                <w:color w:val="000000"/>
              </w:rPr>
              <w:t xml:space="preserve"> </w:t>
            </w:r>
            <w:r>
              <w:rPr>
                <w:snapToGrid w:val="0"/>
                <w:color w:val="000000"/>
                <w:spacing w:val="-1"/>
              </w:rPr>
              <w:t>超过10户。若该区域内固定商铺数量不足10个，且无</w:t>
            </w:r>
            <w:r>
              <w:rPr>
                <w:snapToGrid w:val="0"/>
                <w:color w:val="000000"/>
                <w:spacing w:val="18"/>
              </w:rPr>
              <w:t xml:space="preserve"> </w:t>
            </w:r>
            <w:r>
              <w:rPr>
                <w:snapToGrid w:val="0"/>
                <w:color w:val="000000"/>
                <w:spacing w:val="-2"/>
              </w:rPr>
              <w:t>零售点的，可设置1个零售点。</w:t>
            </w:r>
          </w:p>
          <w:p w14:paraId="26A5CD37">
            <w:pPr>
              <w:pStyle w:val="25"/>
              <w:spacing w:before="39" w:line="228" w:lineRule="auto"/>
              <w:ind w:left="117" w:right="101" w:firstLine="12"/>
              <w:rPr>
                <w:snapToGrid w:val="0"/>
                <w:color w:val="000000"/>
              </w:rPr>
            </w:pPr>
            <w:r>
              <w:rPr>
                <w:snapToGrid w:val="0"/>
                <w:color w:val="000000"/>
                <w:spacing w:val="-1"/>
              </w:rPr>
              <w:t>3.行政村（不含城区城中村、辖区主要街道）按照常</w:t>
            </w:r>
            <w:r>
              <w:rPr>
                <w:snapToGrid w:val="0"/>
                <w:color w:val="000000"/>
                <w:spacing w:val="16"/>
              </w:rPr>
              <w:t xml:space="preserve"> </w:t>
            </w:r>
            <w:r>
              <w:rPr>
                <w:snapToGrid w:val="0"/>
                <w:color w:val="000000"/>
              </w:rPr>
              <w:t>住人口800人以上设置1个零售点，每增加800人增设1</w:t>
            </w:r>
            <w:r>
              <w:rPr>
                <w:snapToGrid w:val="0"/>
                <w:color w:val="000000"/>
                <w:spacing w:val="4"/>
              </w:rPr>
              <w:t xml:space="preserve"> </w:t>
            </w:r>
            <w:r>
              <w:rPr>
                <w:snapToGrid w:val="0"/>
                <w:color w:val="000000"/>
                <w:spacing w:val="-3"/>
              </w:rPr>
              <w:t>个零售点。</w:t>
            </w:r>
          </w:p>
        </w:tc>
        <w:tc>
          <w:tcPr>
            <w:tcW w:w="1516" w:type="dxa"/>
            <w:vMerge w:val="restart"/>
            <w:tcBorders>
              <w:bottom w:val="nil"/>
            </w:tcBorders>
            <w:vAlign w:val="top"/>
          </w:tcPr>
          <w:p w14:paraId="6B3EC8AE">
            <w:pPr>
              <w:spacing w:line="243" w:lineRule="auto"/>
              <w:rPr>
                <w:rFonts w:ascii="Arial"/>
                <w:snapToGrid w:val="0"/>
                <w:color w:val="000000"/>
                <w:sz w:val="21"/>
              </w:rPr>
            </w:pPr>
          </w:p>
          <w:p w14:paraId="6B0937F2">
            <w:pPr>
              <w:spacing w:line="243" w:lineRule="auto"/>
              <w:rPr>
                <w:rFonts w:ascii="Arial"/>
                <w:snapToGrid w:val="0"/>
                <w:color w:val="000000"/>
                <w:sz w:val="21"/>
              </w:rPr>
            </w:pPr>
          </w:p>
          <w:p w14:paraId="26F56BFA">
            <w:pPr>
              <w:spacing w:line="243" w:lineRule="auto"/>
              <w:rPr>
                <w:rFonts w:ascii="Arial"/>
                <w:snapToGrid w:val="0"/>
                <w:color w:val="000000"/>
                <w:sz w:val="21"/>
              </w:rPr>
            </w:pPr>
          </w:p>
          <w:p w14:paraId="7D7EF9A2">
            <w:pPr>
              <w:spacing w:line="243" w:lineRule="auto"/>
              <w:rPr>
                <w:rFonts w:ascii="Arial"/>
                <w:snapToGrid w:val="0"/>
                <w:color w:val="000000"/>
                <w:sz w:val="21"/>
              </w:rPr>
            </w:pPr>
          </w:p>
          <w:p w14:paraId="5982FA7E">
            <w:pPr>
              <w:spacing w:line="243" w:lineRule="auto"/>
              <w:rPr>
                <w:rFonts w:ascii="Arial"/>
                <w:snapToGrid w:val="0"/>
                <w:color w:val="000000"/>
                <w:sz w:val="21"/>
              </w:rPr>
            </w:pPr>
          </w:p>
          <w:p w14:paraId="3EC019A7">
            <w:pPr>
              <w:spacing w:line="243" w:lineRule="auto"/>
              <w:rPr>
                <w:rFonts w:ascii="Arial"/>
                <w:snapToGrid w:val="0"/>
                <w:color w:val="000000"/>
                <w:sz w:val="21"/>
              </w:rPr>
            </w:pPr>
          </w:p>
          <w:p w14:paraId="65775912">
            <w:pPr>
              <w:spacing w:line="243" w:lineRule="auto"/>
              <w:rPr>
                <w:rFonts w:ascii="Arial"/>
                <w:snapToGrid w:val="0"/>
                <w:color w:val="000000"/>
                <w:sz w:val="21"/>
              </w:rPr>
            </w:pPr>
          </w:p>
          <w:p w14:paraId="2204E9DE">
            <w:pPr>
              <w:spacing w:line="243" w:lineRule="auto"/>
              <w:rPr>
                <w:rFonts w:ascii="Arial"/>
                <w:snapToGrid w:val="0"/>
                <w:color w:val="000000"/>
                <w:sz w:val="21"/>
              </w:rPr>
            </w:pPr>
          </w:p>
          <w:p w14:paraId="027DA6AA">
            <w:pPr>
              <w:spacing w:line="243" w:lineRule="auto"/>
              <w:rPr>
                <w:rFonts w:ascii="Arial"/>
                <w:snapToGrid w:val="0"/>
                <w:color w:val="000000"/>
                <w:sz w:val="21"/>
              </w:rPr>
            </w:pPr>
          </w:p>
          <w:p w14:paraId="3B72E7F2">
            <w:pPr>
              <w:spacing w:line="244" w:lineRule="auto"/>
              <w:rPr>
                <w:rFonts w:ascii="Arial"/>
                <w:snapToGrid w:val="0"/>
                <w:color w:val="000000"/>
                <w:sz w:val="21"/>
              </w:rPr>
            </w:pPr>
          </w:p>
          <w:p w14:paraId="41E4B744">
            <w:pPr>
              <w:spacing w:line="244" w:lineRule="auto"/>
              <w:rPr>
                <w:rFonts w:ascii="Arial"/>
                <w:snapToGrid w:val="0"/>
                <w:color w:val="000000"/>
                <w:sz w:val="21"/>
              </w:rPr>
            </w:pPr>
          </w:p>
          <w:p w14:paraId="2A2D7729">
            <w:pPr>
              <w:pStyle w:val="25"/>
              <w:spacing w:before="72"/>
              <w:ind w:left="590"/>
              <w:rPr>
                <w:snapToGrid w:val="0"/>
                <w:color w:val="000000"/>
              </w:rPr>
            </w:pPr>
            <w:r>
              <w:rPr>
                <w:snapToGrid w:val="0"/>
                <w:color w:val="000000"/>
                <w:spacing w:val="-9"/>
              </w:rPr>
              <w:t>1200</w:t>
            </w:r>
          </w:p>
        </w:tc>
        <w:tc>
          <w:tcPr>
            <w:tcW w:w="373" w:type="dxa"/>
            <w:vAlign w:val="top"/>
          </w:tcPr>
          <w:p w14:paraId="5A242425">
            <w:pPr>
              <w:rPr>
                <w:rFonts w:ascii="Arial"/>
                <w:snapToGrid w:val="0"/>
                <w:color w:val="000000"/>
                <w:sz w:val="21"/>
              </w:rPr>
            </w:pPr>
          </w:p>
        </w:tc>
      </w:tr>
      <w:tr w14:paraId="75433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602" w:type="dxa"/>
            <w:vMerge w:val="continue"/>
            <w:tcBorders>
              <w:top w:val="nil"/>
              <w:bottom w:val="nil"/>
            </w:tcBorders>
            <w:textDirection w:val="tbRlV"/>
            <w:vAlign w:val="top"/>
          </w:tcPr>
          <w:p w14:paraId="0C60C6AD">
            <w:pPr>
              <w:rPr>
                <w:rFonts w:ascii="Arial"/>
                <w:snapToGrid w:val="0"/>
                <w:color w:val="000000"/>
                <w:sz w:val="21"/>
              </w:rPr>
            </w:pPr>
          </w:p>
        </w:tc>
        <w:tc>
          <w:tcPr>
            <w:tcW w:w="1007" w:type="dxa"/>
            <w:vAlign w:val="top"/>
          </w:tcPr>
          <w:p w14:paraId="248C4C41">
            <w:pPr>
              <w:spacing w:line="431" w:lineRule="auto"/>
              <w:rPr>
                <w:rFonts w:ascii="Arial"/>
                <w:snapToGrid w:val="0"/>
                <w:color w:val="000000"/>
                <w:sz w:val="21"/>
              </w:rPr>
            </w:pPr>
          </w:p>
          <w:p w14:paraId="3713E8D1">
            <w:pPr>
              <w:pStyle w:val="25"/>
              <w:spacing w:before="72" w:line="220" w:lineRule="auto"/>
              <w:ind w:left="187"/>
              <w:rPr>
                <w:snapToGrid w:val="0"/>
                <w:color w:val="000000"/>
              </w:rPr>
            </w:pPr>
            <w:r>
              <w:rPr>
                <w:snapToGrid w:val="0"/>
                <w:color w:val="000000"/>
                <w:spacing w:val="-5"/>
              </w:rPr>
              <w:t>澧江街</w:t>
            </w:r>
          </w:p>
          <w:p w14:paraId="468DBB37">
            <w:pPr>
              <w:pStyle w:val="25"/>
              <w:spacing w:before="13" w:line="227" w:lineRule="auto"/>
              <w:ind w:left="290"/>
              <w:rPr>
                <w:snapToGrid w:val="0"/>
                <w:color w:val="000000"/>
              </w:rPr>
            </w:pPr>
            <w:r>
              <w:rPr>
                <w:snapToGrid w:val="0"/>
                <w:color w:val="000000"/>
                <w:spacing w:val="-3"/>
              </w:rPr>
              <w:t>道-1</w:t>
            </w:r>
          </w:p>
        </w:tc>
        <w:tc>
          <w:tcPr>
            <w:tcW w:w="2433" w:type="dxa"/>
            <w:vAlign w:val="top"/>
          </w:tcPr>
          <w:p w14:paraId="2FA06037">
            <w:pPr>
              <w:pStyle w:val="25"/>
              <w:spacing w:before="76" w:line="220" w:lineRule="auto"/>
              <w:ind w:left="130"/>
              <w:rPr>
                <w:snapToGrid w:val="0"/>
                <w:color w:val="000000"/>
              </w:rPr>
            </w:pPr>
            <w:r>
              <w:rPr>
                <w:snapToGrid w:val="0"/>
                <w:color w:val="000000"/>
                <w:spacing w:val="-2"/>
              </w:rPr>
              <w:t>澧江社区、玉河社区、</w:t>
            </w:r>
          </w:p>
          <w:p w14:paraId="658A954B">
            <w:pPr>
              <w:pStyle w:val="25"/>
              <w:spacing w:before="16" w:line="220" w:lineRule="auto"/>
              <w:ind w:left="134"/>
              <w:rPr>
                <w:snapToGrid w:val="0"/>
                <w:color w:val="000000"/>
              </w:rPr>
            </w:pPr>
            <w:r>
              <w:rPr>
                <w:snapToGrid w:val="0"/>
                <w:color w:val="000000"/>
                <w:spacing w:val="-3"/>
              </w:rPr>
              <w:t>红侨社区、那整社区、</w:t>
            </w:r>
          </w:p>
          <w:p w14:paraId="2634F28A">
            <w:pPr>
              <w:pStyle w:val="25"/>
              <w:spacing w:before="18" w:line="219" w:lineRule="auto"/>
              <w:ind w:left="130"/>
              <w:rPr>
                <w:snapToGrid w:val="0"/>
                <w:color w:val="000000"/>
              </w:rPr>
            </w:pPr>
            <w:r>
              <w:rPr>
                <w:snapToGrid w:val="0"/>
                <w:color w:val="000000"/>
                <w:spacing w:val="-2"/>
              </w:rPr>
              <w:t>龙潭社区、南昏村委会</w:t>
            </w:r>
          </w:p>
          <w:p w14:paraId="2F559111">
            <w:pPr>
              <w:pStyle w:val="25"/>
              <w:spacing w:before="17" w:line="219" w:lineRule="auto"/>
              <w:ind w:left="144"/>
              <w:rPr>
                <w:snapToGrid w:val="0"/>
                <w:color w:val="000000"/>
              </w:rPr>
            </w:pPr>
            <w:r>
              <w:rPr>
                <w:snapToGrid w:val="0"/>
                <w:color w:val="000000"/>
                <w:spacing w:val="-4"/>
              </w:rPr>
              <w:t>、南洒村委会、莫郎村</w:t>
            </w:r>
          </w:p>
          <w:p w14:paraId="111C4D8D">
            <w:pPr>
              <w:pStyle w:val="25"/>
              <w:spacing w:before="26" w:line="212" w:lineRule="auto"/>
              <w:ind w:left="1004"/>
              <w:rPr>
                <w:snapToGrid w:val="0"/>
                <w:color w:val="000000"/>
              </w:rPr>
            </w:pPr>
            <w:r>
              <w:rPr>
                <w:snapToGrid w:val="0"/>
                <w:color w:val="000000"/>
                <w:spacing w:val="-4"/>
              </w:rPr>
              <w:t>委会</w:t>
            </w:r>
          </w:p>
        </w:tc>
        <w:tc>
          <w:tcPr>
            <w:tcW w:w="918" w:type="dxa"/>
            <w:vAlign w:val="center"/>
          </w:tcPr>
          <w:p w14:paraId="6FC84526">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195</w:t>
            </w:r>
          </w:p>
        </w:tc>
        <w:tc>
          <w:tcPr>
            <w:tcW w:w="1112" w:type="dxa"/>
            <w:vAlign w:val="center"/>
          </w:tcPr>
          <w:p w14:paraId="750E8A79">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180</w:t>
            </w:r>
          </w:p>
        </w:tc>
        <w:tc>
          <w:tcPr>
            <w:tcW w:w="811" w:type="dxa"/>
            <w:vAlign w:val="center"/>
          </w:tcPr>
          <w:p w14:paraId="5191AC4B">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15</w:t>
            </w:r>
          </w:p>
        </w:tc>
        <w:tc>
          <w:tcPr>
            <w:tcW w:w="1197" w:type="dxa"/>
            <w:vAlign w:val="center"/>
          </w:tcPr>
          <w:p w14:paraId="6299E3A9">
            <w:pPr>
              <w:jc w:val="center"/>
              <w:textAlignment w:val="center"/>
              <w:rPr>
                <w:snapToGrid w:val="0"/>
                <w:color w:val="auto"/>
              </w:rPr>
            </w:pPr>
            <w:r>
              <w:rPr>
                <w:rFonts w:hint="eastAsia" w:ascii="宋体" w:hAnsi="宋体" w:eastAsia="宋体" w:cs="宋体"/>
                <w:snapToGrid w:val="0"/>
                <w:color w:val="auto"/>
                <w:sz w:val="22"/>
                <w:szCs w:val="22"/>
                <w:lang w:eastAsia="zh-CN"/>
              </w:rPr>
              <w:t>50</w:t>
            </w:r>
          </w:p>
        </w:tc>
        <w:tc>
          <w:tcPr>
            <w:tcW w:w="5290" w:type="dxa"/>
            <w:vMerge w:val="continue"/>
            <w:tcBorders>
              <w:top w:val="nil"/>
              <w:bottom w:val="nil"/>
            </w:tcBorders>
            <w:vAlign w:val="top"/>
          </w:tcPr>
          <w:p w14:paraId="21917428">
            <w:pPr>
              <w:rPr>
                <w:rFonts w:ascii="Arial"/>
                <w:snapToGrid w:val="0"/>
                <w:color w:val="000000"/>
                <w:sz w:val="21"/>
              </w:rPr>
            </w:pPr>
          </w:p>
        </w:tc>
        <w:tc>
          <w:tcPr>
            <w:tcW w:w="1516" w:type="dxa"/>
            <w:vMerge w:val="continue"/>
            <w:tcBorders>
              <w:top w:val="nil"/>
              <w:bottom w:val="nil"/>
            </w:tcBorders>
            <w:vAlign w:val="top"/>
          </w:tcPr>
          <w:p w14:paraId="3CEB2095">
            <w:pPr>
              <w:rPr>
                <w:rFonts w:ascii="Arial"/>
                <w:snapToGrid w:val="0"/>
                <w:color w:val="000000"/>
                <w:sz w:val="21"/>
              </w:rPr>
            </w:pPr>
          </w:p>
        </w:tc>
        <w:tc>
          <w:tcPr>
            <w:tcW w:w="373" w:type="dxa"/>
            <w:vAlign w:val="top"/>
          </w:tcPr>
          <w:p w14:paraId="0C4F44AF">
            <w:pPr>
              <w:rPr>
                <w:rFonts w:ascii="Arial"/>
                <w:snapToGrid w:val="0"/>
                <w:color w:val="000000"/>
                <w:sz w:val="21"/>
              </w:rPr>
            </w:pPr>
          </w:p>
        </w:tc>
      </w:tr>
      <w:tr w14:paraId="2A0CA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602" w:type="dxa"/>
            <w:vMerge w:val="continue"/>
            <w:tcBorders>
              <w:top w:val="nil"/>
              <w:bottom w:val="nil"/>
            </w:tcBorders>
            <w:textDirection w:val="tbRlV"/>
            <w:vAlign w:val="top"/>
          </w:tcPr>
          <w:p w14:paraId="75A009AF">
            <w:pPr>
              <w:rPr>
                <w:rFonts w:ascii="Arial"/>
                <w:snapToGrid w:val="0"/>
                <w:color w:val="000000"/>
                <w:sz w:val="21"/>
              </w:rPr>
            </w:pPr>
          </w:p>
        </w:tc>
        <w:tc>
          <w:tcPr>
            <w:tcW w:w="1007" w:type="dxa"/>
            <w:vAlign w:val="top"/>
          </w:tcPr>
          <w:p w14:paraId="1DE3536D">
            <w:pPr>
              <w:pStyle w:val="25"/>
              <w:spacing w:before="51" w:line="220" w:lineRule="auto"/>
              <w:ind w:left="187"/>
              <w:rPr>
                <w:snapToGrid w:val="0"/>
                <w:color w:val="000000"/>
              </w:rPr>
            </w:pPr>
            <w:r>
              <w:rPr>
                <w:snapToGrid w:val="0"/>
                <w:color w:val="000000"/>
                <w:spacing w:val="-5"/>
              </w:rPr>
              <w:t>澧江街</w:t>
            </w:r>
          </w:p>
          <w:p w14:paraId="5D90D6F0">
            <w:pPr>
              <w:pStyle w:val="25"/>
              <w:spacing w:line="210" w:lineRule="auto"/>
              <w:ind w:left="290"/>
              <w:rPr>
                <w:snapToGrid w:val="0"/>
                <w:color w:val="000000"/>
              </w:rPr>
            </w:pPr>
            <w:r>
              <w:rPr>
                <w:snapToGrid w:val="0"/>
                <w:color w:val="000000"/>
                <w:spacing w:val="-3"/>
              </w:rPr>
              <w:t>道-2</w:t>
            </w:r>
          </w:p>
        </w:tc>
        <w:tc>
          <w:tcPr>
            <w:tcW w:w="2433" w:type="dxa"/>
            <w:vAlign w:val="top"/>
          </w:tcPr>
          <w:p w14:paraId="5F831DD5">
            <w:pPr>
              <w:pStyle w:val="25"/>
              <w:spacing w:before="191" w:line="220" w:lineRule="auto"/>
              <w:ind w:left="787"/>
              <w:rPr>
                <w:snapToGrid w:val="0"/>
                <w:color w:val="000000"/>
              </w:rPr>
            </w:pPr>
            <w:r>
              <w:rPr>
                <w:snapToGrid w:val="0"/>
                <w:color w:val="000000"/>
                <w:spacing w:val="-4"/>
              </w:rPr>
              <w:t>江东社区</w:t>
            </w:r>
          </w:p>
        </w:tc>
        <w:tc>
          <w:tcPr>
            <w:tcW w:w="918" w:type="dxa"/>
            <w:vAlign w:val="center"/>
          </w:tcPr>
          <w:p w14:paraId="47A8BD86">
            <w:pPr>
              <w:keepNext w:val="0"/>
              <w:keepLines w:val="0"/>
              <w:widowControl/>
              <w:suppressLineNumbers w:val="0"/>
              <w:jc w:val="center"/>
              <w:textAlignment w:val="center"/>
              <w:rPr>
                <w:rFonts w:hint="default"/>
                <w:snapToGrid w:val="0"/>
                <w:color w:val="auto"/>
                <w:lang w:val="en-US"/>
              </w:rPr>
            </w:pPr>
            <w:r>
              <w:rPr>
                <w:rFonts w:hint="eastAsia" w:ascii="宋体" w:hAnsi="宋体" w:eastAsia="宋体" w:cs="宋体"/>
                <w:i w:val="0"/>
                <w:iCs w:val="0"/>
                <w:snapToGrid w:val="0"/>
                <w:color w:val="auto"/>
                <w:kern w:val="0"/>
                <w:sz w:val="22"/>
                <w:szCs w:val="22"/>
                <w:u w:val="none"/>
                <w:lang w:val="en-US" w:eastAsia="zh-CN" w:bidi="ar"/>
              </w:rPr>
              <w:t>38</w:t>
            </w:r>
          </w:p>
        </w:tc>
        <w:tc>
          <w:tcPr>
            <w:tcW w:w="1112" w:type="dxa"/>
            <w:vAlign w:val="center"/>
          </w:tcPr>
          <w:p w14:paraId="23D62B1C">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38</w:t>
            </w:r>
          </w:p>
        </w:tc>
        <w:tc>
          <w:tcPr>
            <w:tcW w:w="811" w:type="dxa"/>
            <w:vAlign w:val="center"/>
          </w:tcPr>
          <w:p w14:paraId="4C8AD868">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0</w:t>
            </w:r>
          </w:p>
        </w:tc>
        <w:tc>
          <w:tcPr>
            <w:tcW w:w="1197" w:type="dxa"/>
            <w:vAlign w:val="center"/>
          </w:tcPr>
          <w:p w14:paraId="4A3144F6">
            <w:pPr>
              <w:jc w:val="center"/>
              <w:textAlignment w:val="center"/>
              <w:rPr>
                <w:snapToGrid w:val="0"/>
                <w:color w:val="auto"/>
              </w:rPr>
            </w:pPr>
            <w:r>
              <w:rPr>
                <w:rFonts w:hint="eastAsia" w:ascii="宋体" w:hAnsi="宋体" w:eastAsia="宋体" w:cs="宋体"/>
                <w:snapToGrid w:val="0"/>
                <w:color w:val="auto"/>
                <w:sz w:val="22"/>
                <w:szCs w:val="22"/>
                <w:lang w:eastAsia="zh-CN"/>
              </w:rPr>
              <w:t>50</w:t>
            </w:r>
          </w:p>
        </w:tc>
        <w:tc>
          <w:tcPr>
            <w:tcW w:w="5290" w:type="dxa"/>
            <w:vMerge w:val="continue"/>
            <w:tcBorders>
              <w:top w:val="nil"/>
              <w:bottom w:val="nil"/>
            </w:tcBorders>
            <w:vAlign w:val="top"/>
          </w:tcPr>
          <w:p w14:paraId="447A2C04">
            <w:pPr>
              <w:rPr>
                <w:rFonts w:ascii="Arial"/>
                <w:snapToGrid w:val="0"/>
                <w:color w:val="000000"/>
                <w:sz w:val="21"/>
              </w:rPr>
            </w:pPr>
          </w:p>
        </w:tc>
        <w:tc>
          <w:tcPr>
            <w:tcW w:w="1516" w:type="dxa"/>
            <w:vMerge w:val="continue"/>
            <w:tcBorders>
              <w:top w:val="nil"/>
              <w:bottom w:val="nil"/>
            </w:tcBorders>
            <w:vAlign w:val="top"/>
          </w:tcPr>
          <w:p w14:paraId="70B87CFB">
            <w:pPr>
              <w:rPr>
                <w:rFonts w:ascii="Arial"/>
                <w:snapToGrid w:val="0"/>
                <w:color w:val="000000"/>
                <w:sz w:val="21"/>
              </w:rPr>
            </w:pPr>
          </w:p>
        </w:tc>
        <w:tc>
          <w:tcPr>
            <w:tcW w:w="373" w:type="dxa"/>
            <w:vAlign w:val="top"/>
          </w:tcPr>
          <w:p w14:paraId="1EB4DA82">
            <w:pPr>
              <w:rPr>
                <w:rFonts w:ascii="Arial"/>
                <w:snapToGrid w:val="0"/>
                <w:color w:val="000000"/>
                <w:sz w:val="21"/>
              </w:rPr>
            </w:pPr>
          </w:p>
        </w:tc>
      </w:tr>
      <w:tr w14:paraId="36BFE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602" w:type="dxa"/>
            <w:vMerge w:val="continue"/>
            <w:tcBorders>
              <w:top w:val="nil"/>
              <w:bottom w:val="nil"/>
            </w:tcBorders>
            <w:textDirection w:val="tbRlV"/>
            <w:vAlign w:val="top"/>
          </w:tcPr>
          <w:p w14:paraId="61463D94">
            <w:pPr>
              <w:rPr>
                <w:rFonts w:ascii="Arial"/>
                <w:snapToGrid w:val="0"/>
                <w:color w:val="000000"/>
                <w:sz w:val="21"/>
              </w:rPr>
            </w:pPr>
          </w:p>
        </w:tc>
        <w:tc>
          <w:tcPr>
            <w:tcW w:w="1007" w:type="dxa"/>
            <w:vAlign w:val="top"/>
          </w:tcPr>
          <w:p w14:paraId="70609FE1">
            <w:pPr>
              <w:pStyle w:val="25"/>
              <w:spacing w:before="51" w:line="220" w:lineRule="auto"/>
              <w:ind w:left="179"/>
              <w:rPr>
                <w:snapToGrid w:val="0"/>
                <w:color w:val="000000"/>
              </w:rPr>
            </w:pPr>
            <w:r>
              <w:rPr>
                <w:snapToGrid w:val="0"/>
                <w:color w:val="000000"/>
                <w:spacing w:val="-4"/>
              </w:rPr>
              <w:t>甘庄街</w:t>
            </w:r>
          </w:p>
          <w:p w14:paraId="1E707AAB">
            <w:pPr>
              <w:pStyle w:val="25"/>
              <w:spacing w:before="1" w:line="209" w:lineRule="auto"/>
              <w:ind w:left="400"/>
              <w:rPr>
                <w:snapToGrid w:val="0"/>
                <w:color w:val="000000"/>
              </w:rPr>
            </w:pPr>
            <w:r>
              <w:rPr>
                <w:snapToGrid w:val="0"/>
                <w:color w:val="000000"/>
              </w:rPr>
              <w:t>道</w:t>
            </w:r>
          </w:p>
        </w:tc>
        <w:tc>
          <w:tcPr>
            <w:tcW w:w="2433" w:type="dxa"/>
            <w:vAlign w:val="top"/>
          </w:tcPr>
          <w:p w14:paraId="2440F058">
            <w:pPr>
              <w:pStyle w:val="25"/>
              <w:spacing w:before="192" w:line="220" w:lineRule="auto"/>
              <w:ind w:left="783"/>
              <w:rPr>
                <w:snapToGrid w:val="0"/>
                <w:color w:val="000000"/>
              </w:rPr>
            </w:pPr>
            <w:r>
              <w:rPr>
                <w:snapToGrid w:val="0"/>
                <w:color w:val="000000"/>
                <w:spacing w:val="-3"/>
              </w:rPr>
              <w:t>甘庄街道</w:t>
            </w:r>
          </w:p>
        </w:tc>
        <w:tc>
          <w:tcPr>
            <w:tcW w:w="918" w:type="dxa"/>
            <w:vAlign w:val="center"/>
          </w:tcPr>
          <w:p w14:paraId="01782A05">
            <w:pPr>
              <w:keepNext w:val="0"/>
              <w:keepLines w:val="0"/>
              <w:widowControl/>
              <w:suppressLineNumbers w:val="0"/>
              <w:jc w:val="center"/>
              <w:textAlignment w:val="center"/>
              <w:rPr>
                <w:rFonts w:hint="default"/>
                <w:snapToGrid w:val="0"/>
                <w:color w:val="auto"/>
                <w:lang w:val="en-US"/>
              </w:rPr>
            </w:pPr>
            <w:r>
              <w:rPr>
                <w:rFonts w:hint="eastAsia" w:ascii="宋体" w:hAnsi="宋体" w:eastAsia="宋体" w:cs="宋体"/>
                <w:i w:val="0"/>
                <w:iCs w:val="0"/>
                <w:snapToGrid w:val="0"/>
                <w:color w:val="auto"/>
                <w:kern w:val="0"/>
                <w:sz w:val="22"/>
                <w:szCs w:val="22"/>
                <w:u w:val="none"/>
                <w:lang w:val="en-US" w:eastAsia="zh-CN" w:bidi="ar"/>
              </w:rPr>
              <w:t>136</w:t>
            </w:r>
          </w:p>
        </w:tc>
        <w:tc>
          <w:tcPr>
            <w:tcW w:w="1112" w:type="dxa"/>
            <w:vAlign w:val="center"/>
          </w:tcPr>
          <w:p w14:paraId="408412CF">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136</w:t>
            </w:r>
          </w:p>
        </w:tc>
        <w:tc>
          <w:tcPr>
            <w:tcW w:w="811" w:type="dxa"/>
            <w:vAlign w:val="center"/>
          </w:tcPr>
          <w:p w14:paraId="62A02AF4">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0</w:t>
            </w:r>
          </w:p>
        </w:tc>
        <w:tc>
          <w:tcPr>
            <w:tcW w:w="1197" w:type="dxa"/>
            <w:vAlign w:val="center"/>
          </w:tcPr>
          <w:p w14:paraId="3C9960DB">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3DE1A08E">
            <w:pPr>
              <w:rPr>
                <w:rFonts w:ascii="Arial"/>
                <w:snapToGrid w:val="0"/>
                <w:color w:val="000000"/>
                <w:sz w:val="21"/>
              </w:rPr>
            </w:pPr>
          </w:p>
        </w:tc>
        <w:tc>
          <w:tcPr>
            <w:tcW w:w="1516" w:type="dxa"/>
            <w:vMerge w:val="continue"/>
            <w:tcBorders>
              <w:top w:val="nil"/>
              <w:bottom w:val="nil"/>
            </w:tcBorders>
            <w:vAlign w:val="top"/>
          </w:tcPr>
          <w:p w14:paraId="44450B18">
            <w:pPr>
              <w:rPr>
                <w:rFonts w:ascii="Arial"/>
                <w:snapToGrid w:val="0"/>
                <w:color w:val="000000"/>
                <w:sz w:val="21"/>
              </w:rPr>
            </w:pPr>
          </w:p>
        </w:tc>
        <w:tc>
          <w:tcPr>
            <w:tcW w:w="373" w:type="dxa"/>
            <w:vAlign w:val="top"/>
          </w:tcPr>
          <w:p w14:paraId="6441DF35">
            <w:pPr>
              <w:rPr>
                <w:rFonts w:ascii="Arial"/>
                <w:snapToGrid w:val="0"/>
                <w:color w:val="000000"/>
                <w:sz w:val="21"/>
              </w:rPr>
            </w:pPr>
          </w:p>
        </w:tc>
      </w:tr>
      <w:tr w14:paraId="49A0E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02" w:type="dxa"/>
            <w:vMerge w:val="continue"/>
            <w:tcBorders>
              <w:top w:val="nil"/>
              <w:bottom w:val="nil"/>
            </w:tcBorders>
            <w:textDirection w:val="tbRlV"/>
            <w:vAlign w:val="top"/>
          </w:tcPr>
          <w:p w14:paraId="2D7C801E">
            <w:pPr>
              <w:rPr>
                <w:rFonts w:ascii="Arial"/>
                <w:snapToGrid w:val="0"/>
                <w:color w:val="000000"/>
                <w:sz w:val="21"/>
              </w:rPr>
            </w:pPr>
          </w:p>
        </w:tc>
        <w:tc>
          <w:tcPr>
            <w:tcW w:w="1007" w:type="dxa"/>
            <w:vAlign w:val="top"/>
          </w:tcPr>
          <w:p w14:paraId="07806524">
            <w:pPr>
              <w:pStyle w:val="25"/>
              <w:spacing w:before="86" w:line="220" w:lineRule="auto"/>
              <w:ind w:left="189"/>
              <w:rPr>
                <w:snapToGrid w:val="0"/>
                <w:color w:val="000000"/>
              </w:rPr>
            </w:pPr>
            <w:r>
              <w:rPr>
                <w:snapToGrid w:val="0"/>
                <w:color w:val="000000"/>
                <w:spacing w:val="-6"/>
              </w:rPr>
              <w:t>曼来镇</w:t>
            </w:r>
          </w:p>
        </w:tc>
        <w:tc>
          <w:tcPr>
            <w:tcW w:w="2433" w:type="dxa"/>
            <w:vAlign w:val="top"/>
          </w:tcPr>
          <w:p w14:paraId="538DD225">
            <w:pPr>
              <w:pStyle w:val="25"/>
              <w:spacing w:before="86" w:line="220" w:lineRule="auto"/>
              <w:ind w:left="902"/>
              <w:rPr>
                <w:snapToGrid w:val="0"/>
                <w:color w:val="000000"/>
              </w:rPr>
            </w:pPr>
            <w:r>
              <w:rPr>
                <w:snapToGrid w:val="0"/>
                <w:color w:val="000000"/>
                <w:spacing w:val="-6"/>
              </w:rPr>
              <w:t>曼来镇</w:t>
            </w:r>
          </w:p>
        </w:tc>
        <w:tc>
          <w:tcPr>
            <w:tcW w:w="918" w:type="dxa"/>
            <w:vAlign w:val="center"/>
          </w:tcPr>
          <w:p w14:paraId="7F724026">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88</w:t>
            </w:r>
          </w:p>
        </w:tc>
        <w:tc>
          <w:tcPr>
            <w:tcW w:w="1112" w:type="dxa"/>
            <w:vAlign w:val="center"/>
          </w:tcPr>
          <w:p w14:paraId="489450DA">
            <w:pPr>
              <w:keepNext w:val="0"/>
              <w:keepLines w:val="0"/>
              <w:widowControl/>
              <w:suppressLineNumbers w:val="0"/>
              <w:jc w:val="center"/>
              <w:textAlignment w:val="center"/>
              <w:rPr>
                <w:rFonts w:hint="default"/>
                <w:snapToGrid w:val="0"/>
                <w:color w:val="auto"/>
                <w:lang w:val="en-US"/>
              </w:rPr>
            </w:pPr>
            <w:r>
              <w:rPr>
                <w:rFonts w:hint="eastAsia" w:ascii="宋体" w:hAnsi="宋体" w:eastAsia="宋体" w:cs="宋体"/>
                <w:i w:val="0"/>
                <w:iCs w:val="0"/>
                <w:snapToGrid w:val="0"/>
                <w:color w:val="auto"/>
                <w:kern w:val="0"/>
                <w:sz w:val="22"/>
                <w:szCs w:val="22"/>
                <w:u w:val="none"/>
                <w:lang w:val="en-US" w:eastAsia="zh-CN" w:bidi="ar"/>
              </w:rPr>
              <w:t>88</w:t>
            </w:r>
          </w:p>
        </w:tc>
        <w:tc>
          <w:tcPr>
            <w:tcW w:w="811" w:type="dxa"/>
            <w:vAlign w:val="center"/>
          </w:tcPr>
          <w:p w14:paraId="4334C06E">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0</w:t>
            </w:r>
          </w:p>
        </w:tc>
        <w:tc>
          <w:tcPr>
            <w:tcW w:w="1197" w:type="dxa"/>
            <w:vAlign w:val="center"/>
          </w:tcPr>
          <w:p w14:paraId="6BB379A1">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3B14E424">
            <w:pPr>
              <w:rPr>
                <w:rFonts w:ascii="Arial"/>
                <w:snapToGrid w:val="0"/>
                <w:color w:val="000000"/>
                <w:sz w:val="21"/>
              </w:rPr>
            </w:pPr>
          </w:p>
        </w:tc>
        <w:tc>
          <w:tcPr>
            <w:tcW w:w="1516" w:type="dxa"/>
            <w:vMerge w:val="continue"/>
            <w:tcBorders>
              <w:top w:val="nil"/>
              <w:bottom w:val="nil"/>
            </w:tcBorders>
            <w:vAlign w:val="top"/>
          </w:tcPr>
          <w:p w14:paraId="14C2B25D">
            <w:pPr>
              <w:rPr>
                <w:rFonts w:ascii="Arial"/>
                <w:snapToGrid w:val="0"/>
                <w:color w:val="000000"/>
                <w:sz w:val="21"/>
              </w:rPr>
            </w:pPr>
          </w:p>
        </w:tc>
        <w:tc>
          <w:tcPr>
            <w:tcW w:w="373" w:type="dxa"/>
            <w:vAlign w:val="top"/>
          </w:tcPr>
          <w:p w14:paraId="77E4F227">
            <w:pPr>
              <w:rPr>
                <w:rFonts w:ascii="Arial"/>
                <w:snapToGrid w:val="0"/>
                <w:color w:val="000000"/>
                <w:sz w:val="21"/>
              </w:rPr>
            </w:pPr>
          </w:p>
        </w:tc>
      </w:tr>
      <w:tr w14:paraId="36265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02" w:type="dxa"/>
            <w:vMerge w:val="continue"/>
            <w:tcBorders>
              <w:top w:val="nil"/>
              <w:bottom w:val="nil"/>
            </w:tcBorders>
            <w:textDirection w:val="tbRlV"/>
            <w:vAlign w:val="top"/>
          </w:tcPr>
          <w:p w14:paraId="3F693BD3">
            <w:pPr>
              <w:rPr>
                <w:rFonts w:ascii="Arial"/>
                <w:snapToGrid w:val="0"/>
                <w:color w:val="000000"/>
                <w:sz w:val="21"/>
              </w:rPr>
            </w:pPr>
          </w:p>
        </w:tc>
        <w:tc>
          <w:tcPr>
            <w:tcW w:w="1007" w:type="dxa"/>
            <w:vAlign w:val="top"/>
          </w:tcPr>
          <w:p w14:paraId="5090A830">
            <w:pPr>
              <w:pStyle w:val="25"/>
              <w:spacing w:before="112" w:line="220" w:lineRule="auto"/>
              <w:ind w:left="217"/>
              <w:rPr>
                <w:snapToGrid w:val="0"/>
                <w:color w:val="000000"/>
              </w:rPr>
            </w:pPr>
            <w:r>
              <w:rPr>
                <w:snapToGrid w:val="0"/>
                <w:color w:val="000000"/>
                <w:spacing w:val="-12"/>
              </w:rPr>
              <w:t>因远镇</w:t>
            </w:r>
          </w:p>
        </w:tc>
        <w:tc>
          <w:tcPr>
            <w:tcW w:w="2433" w:type="dxa"/>
            <w:vAlign w:val="top"/>
          </w:tcPr>
          <w:p w14:paraId="6CBCC792">
            <w:pPr>
              <w:pStyle w:val="25"/>
              <w:spacing w:before="112" w:line="220" w:lineRule="auto"/>
              <w:ind w:left="931"/>
              <w:rPr>
                <w:snapToGrid w:val="0"/>
                <w:color w:val="000000"/>
              </w:rPr>
            </w:pPr>
            <w:r>
              <w:rPr>
                <w:snapToGrid w:val="0"/>
                <w:color w:val="000000"/>
                <w:spacing w:val="-12"/>
              </w:rPr>
              <w:t>因远镇</w:t>
            </w:r>
          </w:p>
        </w:tc>
        <w:tc>
          <w:tcPr>
            <w:tcW w:w="918" w:type="dxa"/>
            <w:vAlign w:val="center"/>
          </w:tcPr>
          <w:p w14:paraId="234E6675">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114</w:t>
            </w:r>
          </w:p>
        </w:tc>
        <w:tc>
          <w:tcPr>
            <w:tcW w:w="1112" w:type="dxa"/>
            <w:vAlign w:val="center"/>
          </w:tcPr>
          <w:p w14:paraId="612A4438">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114</w:t>
            </w:r>
          </w:p>
        </w:tc>
        <w:tc>
          <w:tcPr>
            <w:tcW w:w="811" w:type="dxa"/>
            <w:vAlign w:val="center"/>
          </w:tcPr>
          <w:p w14:paraId="7D2CB372">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0</w:t>
            </w:r>
          </w:p>
        </w:tc>
        <w:tc>
          <w:tcPr>
            <w:tcW w:w="1197" w:type="dxa"/>
            <w:vAlign w:val="center"/>
          </w:tcPr>
          <w:p w14:paraId="39AD4B50">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704AC0FB">
            <w:pPr>
              <w:rPr>
                <w:rFonts w:ascii="Arial"/>
                <w:snapToGrid w:val="0"/>
                <w:color w:val="000000"/>
                <w:sz w:val="21"/>
              </w:rPr>
            </w:pPr>
          </w:p>
        </w:tc>
        <w:tc>
          <w:tcPr>
            <w:tcW w:w="1516" w:type="dxa"/>
            <w:vMerge w:val="continue"/>
            <w:tcBorders>
              <w:top w:val="nil"/>
              <w:bottom w:val="nil"/>
            </w:tcBorders>
            <w:vAlign w:val="top"/>
          </w:tcPr>
          <w:p w14:paraId="4A3380DB">
            <w:pPr>
              <w:rPr>
                <w:rFonts w:ascii="Arial"/>
                <w:snapToGrid w:val="0"/>
                <w:color w:val="000000"/>
                <w:sz w:val="21"/>
              </w:rPr>
            </w:pPr>
          </w:p>
        </w:tc>
        <w:tc>
          <w:tcPr>
            <w:tcW w:w="373" w:type="dxa"/>
            <w:vAlign w:val="top"/>
          </w:tcPr>
          <w:p w14:paraId="3DB23362">
            <w:pPr>
              <w:rPr>
                <w:rFonts w:ascii="Arial"/>
                <w:snapToGrid w:val="0"/>
                <w:color w:val="000000"/>
                <w:sz w:val="21"/>
              </w:rPr>
            </w:pPr>
          </w:p>
        </w:tc>
      </w:tr>
      <w:tr w14:paraId="6DB7D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3A673FDF">
            <w:pPr>
              <w:rPr>
                <w:rFonts w:ascii="Arial"/>
                <w:snapToGrid w:val="0"/>
                <w:color w:val="000000"/>
                <w:sz w:val="21"/>
              </w:rPr>
            </w:pPr>
          </w:p>
        </w:tc>
        <w:tc>
          <w:tcPr>
            <w:tcW w:w="1007" w:type="dxa"/>
            <w:vAlign w:val="top"/>
          </w:tcPr>
          <w:p w14:paraId="5558A85B">
            <w:pPr>
              <w:pStyle w:val="25"/>
              <w:spacing w:before="80" w:line="210" w:lineRule="auto"/>
              <w:ind w:left="203"/>
              <w:rPr>
                <w:snapToGrid w:val="0"/>
                <w:color w:val="000000"/>
              </w:rPr>
            </w:pPr>
            <w:r>
              <w:rPr>
                <w:snapToGrid w:val="0"/>
                <w:color w:val="000000"/>
                <w:spacing w:val="-9"/>
              </w:rPr>
              <w:t>咪哩乡</w:t>
            </w:r>
          </w:p>
        </w:tc>
        <w:tc>
          <w:tcPr>
            <w:tcW w:w="2433" w:type="dxa"/>
            <w:vAlign w:val="top"/>
          </w:tcPr>
          <w:p w14:paraId="348B8D6F">
            <w:pPr>
              <w:pStyle w:val="25"/>
              <w:spacing w:before="80" w:line="210" w:lineRule="auto"/>
              <w:ind w:left="917"/>
              <w:rPr>
                <w:snapToGrid w:val="0"/>
                <w:color w:val="000000"/>
              </w:rPr>
            </w:pPr>
            <w:r>
              <w:rPr>
                <w:snapToGrid w:val="0"/>
                <w:color w:val="000000"/>
                <w:spacing w:val="-9"/>
              </w:rPr>
              <w:t>咪哩乡</w:t>
            </w:r>
          </w:p>
        </w:tc>
        <w:tc>
          <w:tcPr>
            <w:tcW w:w="918" w:type="dxa"/>
            <w:vAlign w:val="center"/>
          </w:tcPr>
          <w:p w14:paraId="5075A464">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48</w:t>
            </w:r>
          </w:p>
        </w:tc>
        <w:tc>
          <w:tcPr>
            <w:tcW w:w="1112" w:type="dxa"/>
            <w:vAlign w:val="center"/>
          </w:tcPr>
          <w:p w14:paraId="637D47A6">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46</w:t>
            </w:r>
          </w:p>
        </w:tc>
        <w:tc>
          <w:tcPr>
            <w:tcW w:w="811" w:type="dxa"/>
            <w:vAlign w:val="center"/>
          </w:tcPr>
          <w:p w14:paraId="6AA29308">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2</w:t>
            </w:r>
          </w:p>
        </w:tc>
        <w:tc>
          <w:tcPr>
            <w:tcW w:w="1197" w:type="dxa"/>
            <w:vAlign w:val="center"/>
          </w:tcPr>
          <w:p w14:paraId="5F891377">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5BDB3904">
            <w:pPr>
              <w:rPr>
                <w:rFonts w:ascii="Arial"/>
                <w:snapToGrid w:val="0"/>
                <w:color w:val="000000"/>
                <w:sz w:val="21"/>
              </w:rPr>
            </w:pPr>
          </w:p>
        </w:tc>
        <w:tc>
          <w:tcPr>
            <w:tcW w:w="1516" w:type="dxa"/>
            <w:vMerge w:val="continue"/>
            <w:tcBorders>
              <w:top w:val="nil"/>
              <w:bottom w:val="nil"/>
            </w:tcBorders>
            <w:vAlign w:val="top"/>
          </w:tcPr>
          <w:p w14:paraId="3484DBBA">
            <w:pPr>
              <w:rPr>
                <w:rFonts w:ascii="Arial"/>
                <w:snapToGrid w:val="0"/>
                <w:color w:val="000000"/>
                <w:sz w:val="21"/>
              </w:rPr>
            </w:pPr>
          </w:p>
        </w:tc>
        <w:tc>
          <w:tcPr>
            <w:tcW w:w="373" w:type="dxa"/>
            <w:vAlign w:val="top"/>
          </w:tcPr>
          <w:p w14:paraId="6A15DD6F">
            <w:pPr>
              <w:rPr>
                <w:rFonts w:ascii="Arial"/>
                <w:snapToGrid w:val="0"/>
                <w:color w:val="000000"/>
                <w:sz w:val="21"/>
              </w:rPr>
            </w:pPr>
          </w:p>
        </w:tc>
      </w:tr>
      <w:tr w14:paraId="065E8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16666B8F">
            <w:pPr>
              <w:rPr>
                <w:rFonts w:ascii="Arial"/>
                <w:snapToGrid w:val="0"/>
                <w:color w:val="000000"/>
                <w:sz w:val="21"/>
              </w:rPr>
            </w:pPr>
          </w:p>
        </w:tc>
        <w:tc>
          <w:tcPr>
            <w:tcW w:w="1007" w:type="dxa"/>
            <w:vAlign w:val="top"/>
          </w:tcPr>
          <w:p w14:paraId="0BE3A37C">
            <w:pPr>
              <w:pStyle w:val="25"/>
              <w:spacing w:before="79" w:line="211" w:lineRule="auto"/>
              <w:ind w:left="183"/>
              <w:rPr>
                <w:snapToGrid w:val="0"/>
                <w:color w:val="000000"/>
              </w:rPr>
            </w:pPr>
            <w:r>
              <w:rPr>
                <w:snapToGrid w:val="0"/>
                <w:color w:val="000000"/>
                <w:spacing w:val="-4"/>
              </w:rPr>
              <w:t>那诺乡</w:t>
            </w:r>
          </w:p>
        </w:tc>
        <w:tc>
          <w:tcPr>
            <w:tcW w:w="2433" w:type="dxa"/>
            <w:vAlign w:val="top"/>
          </w:tcPr>
          <w:p w14:paraId="151B2337">
            <w:pPr>
              <w:pStyle w:val="25"/>
              <w:spacing w:before="79" w:line="211" w:lineRule="auto"/>
              <w:ind w:left="897"/>
              <w:rPr>
                <w:snapToGrid w:val="0"/>
                <w:color w:val="000000"/>
              </w:rPr>
            </w:pPr>
            <w:r>
              <w:rPr>
                <w:snapToGrid w:val="0"/>
                <w:color w:val="000000"/>
                <w:spacing w:val="-4"/>
              </w:rPr>
              <w:t>那诺乡</w:t>
            </w:r>
          </w:p>
        </w:tc>
        <w:tc>
          <w:tcPr>
            <w:tcW w:w="918" w:type="dxa"/>
            <w:vAlign w:val="center"/>
          </w:tcPr>
          <w:p w14:paraId="2A4A6E37">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39</w:t>
            </w:r>
          </w:p>
        </w:tc>
        <w:tc>
          <w:tcPr>
            <w:tcW w:w="1112" w:type="dxa"/>
            <w:vAlign w:val="center"/>
          </w:tcPr>
          <w:p w14:paraId="57F98B1A">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38</w:t>
            </w:r>
          </w:p>
        </w:tc>
        <w:tc>
          <w:tcPr>
            <w:tcW w:w="811" w:type="dxa"/>
            <w:vAlign w:val="center"/>
          </w:tcPr>
          <w:p w14:paraId="08A023DF">
            <w:pPr>
              <w:keepNext w:val="0"/>
              <w:keepLines w:val="0"/>
              <w:widowControl/>
              <w:suppressLineNumbers w:val="0"/>
              <w:jc w:val="center"/>
              <w:textAlignment w:val="center"/>
              <w:rPr>
                <w:rFonts w:hint="eastAsia" w:eastAsia="宋体"/>
                <w:snapToGrid w:val="0"/>
                <w:color w:val="auto"/>
                <w:lang w:eastAsia="zh-CN"/>
              </w:rPr>
            </w:pPr>
            <w:r>
              <w:rPr>
                <w:rFonts w:hint="eastAsia" w:ascii="宋体" w:hAnsi="宋体" w:eastAsia="宋体" w:cs="宋体"/>
                <w:i w:val="0"/>
                <w:iCs w:val="0"/>
                <w:snapToGrid w:val="0"/>
                <w:color w:val="auto"/>
                <w:kern w:val="0"/>
                <w:sz w:val="22"/>
                <w:szCs w:val="22"/>
                <w:u w:val="none"/>
                <w:lang w:val="en-US" w:eastAsia="zh-CN" w:bidi="ar"/>
              </w:rPr>
              <w:t>1</w:t>
            </w:r>
          </w:p>
        </w:tc>
        <w:tc>
          <w:tcPr>
            <w:tcW w:w="1197" w:type="dxa"/>
            <w:vAlign w:val="center"/>
          </w:tcPr>
          <w:p w14:paraId="14B50AB8">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324B9C00">
            <w:pPr>
              <w:rPr>
                <w:rFonts w:ascii="Arial"/>
                <w:snapToGrid w:val="0"/>
                <w:color w:val="000000"/>
                <w:sz w:val="21"/>
              </w:rPr>
            </w:pPr>
          </w:p>
        </w:tc>
        <w:tc>
          <w:tcPr>
            <w:tcW w:w="1516" w:type="dxa"/>
            <w:vMerge w:val="continue"/>
            <w:tcBorders>
              <w:top w:val="nil"/>
              <w:bottom w:val="nil"/>
            </w:tcBorders>
            <w:vAlign w:val="top"/>
          </w:tcPr>
          <w:p w14:paraId="4B2AFCA8">
            <w:pPr>
              <w:rPr>
                <w:rFonts w:ascii="Arial"/>
                <w:snapToGrid w:val="0"/>
                <w:color w:val="000000"/>
                <w:sz w:val="21"/>
              </w:rPr>
            </w:pPr>
          </w:p>
        </w:tc>
        <w:tc>
          <w:tcPr>
            <w:tcW w:w="373" w:type="dxa"/>
            <w:vAlign w:val="top"/>
          </w:tcPr>
          <w:p w14:paraId="2BC9C3E7">
            <w:pPr>
              <w:rPr>
                <w:rFonts w:ascii="Arial"/>
                <w:snapToGrid w:val="0"/>
                <w:color w:val="000000"/>
                <w:sz w:val="21"/>
              </w:rPr>
            </w:pPr>
          </w:p>
        </w:tc>
      </w:tr>
      <w:tr w14:paraId="6E8C5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2049862B">
            <w:pPr>
              <w:rPr>
                <w:rFonts w:ascii="Arial"/>
                <w:snapToGrid w:val="0"/>
                <w:color w:val="000000"/>
                <w:sz w:val="21"/>
              </w:rPr>
            </w:pPr>
          </w:p>
        </w:tc>
        <w:tc>
          <w:tcPr>
            <w:tcW w:w="1007" w:type="dxa"/>
            <w:vAlign w:val="top"/>
          </w:tcPr>
          <w:p w14:paraId="03F8E467">
            <w:pPr>
              <w:pStyle w:val="25"/>
              <w:spacing w:before="77" w:line="213" w:lineRule="auto"/>
              <w:ind w:left="197"/>
              <w:rPr>
                <w:snapToGrid w:val="0"/>
                <w:color w:val="000000"/>
              </w:rPr>
            </w:pPr>
            <w:r>
              <w:rPr>
                <w:snapToGrid w:val="0"/>
                <w:color w:val="000000"/>
                <w:spacing w:val="-7"/>
              </w:rPr>
              <w:t>羊街乡</w:t>
            </w:r>
          </w:p>
        </w:tc>
        <w:tc>
          <w:tcPr>
            <w:tcW w:w="2433" w:type="dxa"/>
            <w:vAlign w:val="top"/>
          </w:tcPr>
          <w:p w14:paraId="2FA82282">
            <w:pPr>
              <w:pStyle w:val="25"/>
              <w:spacing w:before="77" w:line="213" w:lineRule="auto"/>
              <w:ind w:left="911"/>
              <w:rPr>
                <w:snapToGrid w:val="0"/>
                <w:color w:val="000000"/>
              </w:rPr>
            </w:pPr>
            <w:r>
              <w:rPr>
                <w:snapToGrid w:val="0"/>
                <w:color w:val="000000"/>
                <w:spacing w:val="-7"/>
              </w:rPr>
              <w:t>羊街乡</w:t>
            </w:r>
          </w:p>
        </w:tc>
        <w:tc>
          <w:tcPr>
            <w:tcW w:w="918" w:type="dxa"/>
            <w:vAlign w:val="center"/>
          </w:tcPr>
          <w:p w14:paraId="6527A0BA">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53</w:t>
            </w:r>
          </w:p>
        </w:tc>
        <w:tc>
          <w:tcPr>
            <w:tcW w:w="1112" w:type="dxa"/>
            <w:vAlign w:val="center"/>
          </w:tcPr>
          <w:p w14:paraId="16D2AA2A">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52</w:t>
            </w:r>
          </w:p>
        </w:tc>
        <w:tc>
          <w:tcPr>
            <w:tcW w:w="811" w:type="dxa"/>
            <w:vAlign w:val="center"/>
          </w:tcPr>
          <w:p w14:paraId="486F300C">
            <w:pPr>
              <w:keepNext w:val="0"/>
              <w:keepLines w:val="0"/>
              <w:widowControl/>
              <w:suppressLineNumbers w:val="0"/>
              <w:jc w:val="center"/>
              <w:textAlignment w:val="center"/>
              <w:rPr>
                <w:rFonts w:hint="eastAsia" w:eastAsia="宋体"/>
                <w:snapToGrid w:val="0"/>
                <w:color w:val="auto"/>
                <w:lang w:eastAsia="zh-CN"/>
              </w:rPr>
            </w:pPr>
            <w:r>
              <w:rPr>
                <w:rFonts w:hint="eastAsia" w:ascii="宋体" w:hAnsi="宋体" w:eastAsia="宋体" w:cs="宋体"/>
                <w:i w:val="0"/>
                <w:iCs w:val="0"/>
                <w:snapToGrid w:val="0"/>
                <w:color w:val="auto"/>
                <w:kern w:val="0"/>
                <w:sz w:val="22"/>
                <w:szCs w:val="22"/>
                <w:u w:val="none"/>
                <w:lang w:val="en-US" w:eastAsia="zh-CN" w:bidi="ar"/>
              </w:rPr>
              <w:t>1</w:t>
            </w:r>
          </w:p>
        </w:tc>
        <w:tc>
          <w:tcPr>
            <w:tcW w:w="1197" w:type="dxa"/>
            <w:vAlign w:val="center"/>
          </w:tcPr>
          <w:p w14:paraId="0F6863C7">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7970B194">
            <w:pPr>
              <w:rPr>
                <w:rFonts w:ascii="Arial"/>
                <w:snapToGrid w:val="0"/>
                <w:color w:val="000000"/>
                <w:sz w:val="21"/>
              </w:rPr>
            </w:pPr>
          </w:p>
        </w:tc>
        <w:tc>
          <w:tcPr>
            <w:tcW w:w="1516" w:type="dxa"/>
            <w:vMerge w:val="continue"/>
            <w:tcBorders>
              <w:top w:val="nil"/>
              <w:bottom w:val="nil"/>
            </w:tcBorders>
            <w:vAlign w:val="top"/>
          </w:tcPr>
          <w:p w14:paraId="508A47A2">
            <w:pPr>
              <w:rPr>
                <w:rFonts w:ascii="Arial"/>
                <w:snapToGrid w:val="0"/>
                <w:color w:val="000000"/>
                <w:sz w:val="21"/>
              </w:rPr>
            </w:pPr>
          </w:p>
        </w:tc>
        <w:tc>
          <w:tcPr>
            <w:tcW w:w="373" w:type="dxa"/>
            <w:vAlign w:val="top"/>
          </w:tcPr>
          <w:p w14:paraId="13FA203E">
            <w:pPr>
              <w:rPr>
                <w:rFonts w:ascii="Arial"/>
                <w:snapToGrid w:val="0"/>
                <w:color w:val="000000"/>
                <w:sz w:val="21"/>
              </w:rPr>
            </w:pPr>
          </w:p>
        </w:tc>
      </w:tr>
      <w:tr w14:paraId="0C248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1E19FEC3">
            <w:pPr>
              <w:rPr>
                <w:rFonts w:ascii="Arial"/>
                <w:snapToGrid w:val="0"/>
                <w:color w:val="000000"/>
                <w:sz w:val="21"/>
              </w:rPr>
            </w:pPr>
          </w:p>
        </w:tc>
        <w:tc>
          <w:tcPr>
            <w:tcW w:w="1007" w:type="dxa"/>
            <w:vAlign w:val="top"/>
          </w:tcPr>
          <w:p w14:paraId="2C699745">
            <w:pPr>
              <w:pStyle w:val="25"/>
              <w:spacing w:before="79" w:line="211" w:lineRule="auto"/>
              <w:ind w:left="189"/>
              <w:rPr>
                <w:snapToGrid w:val="0"/>
                <w:color w:val="000000"/>
              </w:rPr>
            </w:pPr>
            <w:r>
              <w:rPr>
                <w:snapToGrid w:val="0"/>
                <w:color w:val="000000"/>
                <w:spacing w:val="-6"/>
              </w:rPr>
              <w:t>洼垤乡</w:t>
            </w:r>
          </w:p>
        </w:tc>
        <w:tc>
          <w:tcPr>
            <w:tcW w:w="2433" w:type="dxa"/>
            <w:vAlign w:val="top"/>
          </w:tcPr>
          <w:p w14:paraId="1CE5B483">
            <w:pPr>
              <w:pStyle w:val="25"/>
              <w:spacing w:before="79" w:line="211" w:lineRule="auto"/>
              <w:ind w:left="902"/>
              <w:rPr>
                <w:snapToGrid w:val="0"/>
                <w:color w:val="000000"/>
              </w:rPr>
            </w:pPr>
            <w:r>
              <w:rPr>
                <w:snapToGrid w:val="0"/>
                <w:color w:val="000000"/>
                <w:spacing w:val="-6"/>
              </w:rPr>
              <w:t>洼垤乡</w:t>
            </w:r>
          </w:p>
        </w:tc>
        <w:tc>
          <w:tcPr>
            <w:tcW w:w="918" w:type="dxa"/>
            <w:vAlign w:val="center"/>
          </w:tcPr>
          <w:p w14:paraId="53163D62">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24</w:t>
            </w:r>
          </w:p>
        </w:tc>
        <w:tc>
          <w:tcPr>
            <w:tcW w:w="1112" w:type="dxa"/>
            <w:vAlign w:val="center"/>
          </w:tcPr>
          <w:p w14:paraId="3A0AEB9F">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23</w:t>
            </w:r>
          </w:p>
        </w:tc>
        <w:tc>
          <w:tcPr>
            <w:tcW w:w="811" w:type="dxa"/>
            <w:vAlign w:val="center"/>
          </w:tcPr>
          <w:p w14:paraId="71AC1A38">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1</w:t>
            </w:r>
          </w:p>
        </w:tc>
        <w:tc>
          <w:tcPr>
            <w:tcW w:w="1197" w:type="dxa"/>
            <w:vAlign w:val="center"/>
          </w:tcPr>
          <w:p w14:paraId="4CB1957A">
            <w:pPr>
              <w:jc w:val="center"/>
              <w:textAlignment w:val="center"/>
              <w:rPr>
                <w:snapToGrid w:val="0"/>
                <w:color w:val="000000"/>
              </w:rPr>
            </w:pPr>
            <w:r>
              <w:rPr>
                <w:rFonts w:hint="eastAsia" w:ascii="宋体" w:hAnsi="宋体" w:eastAsia="宋体" w:cs="宋体"/>
                <w:snapToGrid w:val="0"/>
                <w:color w:val="000000"/>
                <w:sz w:val="22"/>
                <w:szCs w:val="22"/>
                <w:lang w:eastAsia="zh-CN"/>
              </w:rPr>
              <w:t>30</w:t>
            </w:r>
          </w:p>
        </w:tc>
        <w:tc>
          <w:tcPr>
            <w:tcW w:w="5290" w:type="dxa"/>
            <w:vMerge w:val="continue"/>
            <w:tcBorders>
              <w:top w:val="nil"/>
              <w:bottom w:val="nil"/>
            </w:tcBorders>
            <w:vAlign w:val="top"/>
          </w:tcPr>
          <w:p w14:paraId="2CD864A1">
            <w:pPr>
              <w:rPr>
                <w:rFonts w:ascii="Arial"/>
                <w:snapToGrid w:val="0"/>
                <w:color w:val="000000"/>
                <w:sz w:val="21"/>
              </w:rPr>
            </w:pPr>
          </w:p>
        </w:tc>
        <w:tc>
          <w:tcPr>
            <w:tcW w:w="1516" w:type="dxa"/>
            <w:vMerge w:val="continue"/>
            <w:tcBorders>
              <w:top w:val="nil"/>
              <w:bottom w:val="nil"/>
            </w:tcBorders>
            <w:vAlign w:val="top"/>
          </w:tcPr>
          <w:p w14:paraId="49143A2D">
            <w:pPr>
              <w:rPr>
                <w:rFonts w:ascii="Arial"/>
                <w:snapToGrid w:val="0"/>
                <w:color w:val="000000"/>
                <w:sz w:val="21"/>
              </w:rPr>
            </w:pPr>
          </w:p>
        </w:tc>
        <w:tc>
          <w:tcPr>
            <w:tcW w:w="373" w:type="dxa"/>
            <w:vAlign w:val="top"/>
          </w:tcPr>
          <w:p w14:paraId="01432B5A">
            <w:pPr>
              <w:rPr>
                <w:rFonts w:ascii="Arial"/>
                <w:snapToGrid w:val="0"/>
                <w:color w:val="000000"/>
                <w:sz w:val="21"/>
              </w:rPr>
            </w:pPr>
          </w:p>
        </w:tc>
      </w:tr>
      <w:tr w14:paraId="5AA15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602" w:type="dxa"/>
            <w:vMerge w:val="continue"/>
            <w:tcBorders>
              <w:top w:val="nil"/>
            </w:tcBorders>
            <w:textDirection w:val="tbRlV"/>
            <w:vAlign w:val="top"/>
          </w:tcPr>
          <w:p w14:paraId="4E39C49E">
            <w:pPr>
              <w:rPr>
                <w:rFonts w:ascii="Arial"/>
                <w:snapToGrid w:val="0"/>
                <w:color w:val="000000"/>
                <w:sz w:val="21"/>
              </w:rPr>
            </w:pPr>
          </w:p>
        </w:tc>
        <w:tc>
          <w:tcPr>
            <w:tcW w:w="1007" w:type="dxa"/>
            <w:vAlign w:val="top"/>
          </w:tcPr>
          <w:p w14:paraId="43495E78">
            <w:pPr>
              <w:pStyle w:val="25"/>
              <w:spacing w:before="78" w:line="217" w:lineRule="auto"/>
              <w:ind w:left="187"/>
              <w:rPr>
                <w:snapToGrid w:val="0"/>
                <w:color w:val="000000"/>
              </w:rPr>
            </w:pPr>
            <w:r>
              <w:rPr>
                <w:snapToGrid w:val="0"/>
                <w:color w:val="000000"/>
                <w:spacing w:val="-5"/>
              </w:rPr>
              <w:t>龙潭乡</w:t>
            </w:r>
          </w:p>
        </w:tc>
        <w:tc>
          <w:tcPr>
            <w:tcW w:w="2433" w:type="dxa"/>
            <w:vAlign w:val="top"/>
          </w:tcPr>
          <w:p w14:paraId="5EE03AA4">
            <w:pPr>
              <w:pStyle w:val="25"/>
              <w:spacing w:before="78" w:line="217" w:lineRule="auto"/>
              <w:ind w:left="898"/>
              <w:rPr>
                <w:snapToGrid w:val="0"/>
                <w:color w:val="000000"/>
              </w:rPr>
            </w:pPr>
            <w:r>
              <w:rPr>
                <w:snapToGrid w:val="0"/>
                <w:color w:val="000000"/>
                <w:spacing w:val="-5"/>
              </w:rPr>
              <w:t>龙潭乡</w:t>
            </w:r>
          </w:p>
        </w:tc>
        <w:tc>
          <w:tcPr>
            <w:tcW w:w="918" w:type="dxa"/>
            <w:vAlign w:val="center"/>
          </w:tcPr>
          <w:p w14:paraId="2C970D02">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16</w:t>
            </w:r>
          </w:p>
        </w:tc>
        <w:tc>
          <w:tcPr>
            <w:tcW w:w="1112" w:type="dxa"/>
            <w:vAlign w:val="center"/>
          </w:tcPr>
          <w:p w14:paraId="7530D9A4">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16</w:t>
            </w:r>
          </w:p>
        </w:tc>
        <w:tc>
          <w:tcPr>
            <w:tcW w:w="811" w:type="dxa"/>
            <w:vAlign w:val="center"/>
          </w:tcPr>
          <w:p w14:paraId="41E25E25">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0</w:t>
            </w:r>
          </w:p>
        </w:tc>
        <w:tc>
          <w:tcPr>
            <w:tcW w:w="1197" w:type="dxa"/>
            <w:vAlign w:val="center"/>
          </w:tcPr>
          <w:p w14:paraId="08987709">
            <w:pPr>
              <w:jc w:val="center"/>
              <w:textAlignment w:val="center"/>
              <w:rPr>
                <w:snapToGrid w:val="0"/>
                <w:color w:val="000000"/>
              </w:rPr>
            </w:pPr>
            <w:r>
              <w:rPr>
                <w:rFonts w:hint="eastAsia" w:ascii="宋体" w:hAnsi="宋体" w:eastAsia="宋体" w:cs="宋体"/>
                <w:snapToGrid w:val="0"/>
                <w:color w:val="000000"/>
                <w:sz w:val="22"/>
                <w:szCs w:val="22"/>
                <w:lang w:eastAsia="zh-CN"/>
              </w:rPr>
              <w:t>30</w:t>
            </w:r>
          </w:p>
        </w:tc>
        <w:tc>
          <w:tcPr>
            <w:tcW w:w="5290" w:type="dxa"/>
            <w:vMerge w:val="continue"/>
            <w:tcBorders>
              <w:top w:val="nil"/>
            </w:tcBorders>
            <w:vAlign w:val="top"/>
          </w:tcPr>
          <w:p w14:paraId="284B6E38">
            <w:pPr>
              <w:rPr>
                <w:rFonts w:ascii="Arial"/>
                <w:snapToGrid w:val="0"/>
                <w:color w:val="000000"/>
                <w:sz w:val="21"/>
              </w:rPr>
            </w:pPr>
          </w:p>
        </w:tc>
        <w:tc>
          <w:tcPr>
            <w:tcW w:w="1516" w:type="dxa"/>
            <w:vMerge w:val="continue"/>
            <w:tcBorders>
              <w:top w:val="nil"/>
            </w:tcBorders>
            <w:vAlign w:val="top"/>
          </w:tcPr>
          <w:p w14:paraId="2698C969">
            <w:pPr>
              <w:rPr>
                <w:rFonts w:ascii="Arial"/>
                <w:snapToGrid w:val="0"/>
                <w:color w:val="000000"/>
                <w:sz w:val="21"/>
              </w:rPr>
            </w:pPr>
          </w:p>
        </w:tc>
        <w:tc>
          <w:tcPr>
            <w:tcW w:w="373" w:type="dxa"/>
            <w:vAlign w:val="top"/>
          </w:tcPr>
          <w:p w14:paraId="0CDC9EA3">
            <w:pPr>
              <w:rPr>
                <w:rFonts w:ascii="Arial"/>
                <w:snapToGrid w:val="0"/>
                <w:color w:val="000000"/>
                <w:sz w:val="21"/>
              </w:rPr>
            </w:pPr>
          </w:p>
        </w:tc>
      </w:tr>
    </w:tbl>
    <w:p w14:paraId="08F85082">
      <w:pPr>
        <w:rPr>
          <w:rFonts w:ascii="Arial"/>
          <w:sz w:val="21"/>
        </w:rPr>
      </w:pPr>
    </w:p>
    <w:p w14:paraId="3F691DE0">
      <w:pPr>
        <w:rPr>
          <w:rFonts w:ascii="Arial" w:hAnsi="Arial" w:eastAsia="Arial" w:cs="Arial"/>
          <w:sz w:val="21"/>
          <w:szCs w:val="21"/>
        </w:rPr>
        <w:sectPr>
          <w:pgSz w:w="16840" w:h="11906"/>
          <w:pgMar w:top="1012" w:right="788" w:bottom="0" w:left="785" w:header="0" w:footer="0" w:gutter="0"/>
          <w:cols w:space="720" w:num="1"/>
        </w:sectPr>
      </w:pPr>
    </w:p>
    <w:p w14:paraId="4A809689">
      <w:pPr>
        <w:spacing w:line="395" w:lineRule="auto"/>
        <w:rPr>
          <w:rFonts w:ascii="Arial"/>
          <w:sz w:val="21"/>
        </w:rPr>
      </w:pPr>
    </w:p>
    <w:p w14:paraId="4B523E2A">
      <w:pPr>
        <w:pStyle w:val="4"/>
        <w:spacing w:before="61" w:line="227" w:lineRule="auto"/>
      </w:pPr>
      <w:r>
        <w:rPr>
          <w:spacing w:val="14"/>
        </w:rPr>
        <w:t>备注：</w:t>
      </w:r>
      <w:r>
        <w:rPr>
          <w:spacing w:val="-34"/>
        </w:rPr>
        <w:t xml:space="preserve"> </w:t>
      </w:r>
      <w:r>
        <w:rPr>
          <w:spacing w:val="14"/>
        </w:rPr>
        <w:t>1.本公示表的数据根据元江县零售点布局规划实行定期评价、动态管理。</w:t>
      </w:r>
    </w:p>
    <w:p w14:paraId="6D469B7C">
      <w:pPr>
        <w:pStyle w:val="4"/>
        <w:spacing w:before="67" w:line="227" w:lineRule="auto"/>
        <w:jc w:val="left"/>
      </w:pPr>
      <w:r>
        <w:rPr>
          <w:spacing w:val="16"/>
        </w:rPr>
        <w:t>2.每季度根据经济发展、城乡建设、市场形势等变化情况对</w:t>
      </w:r>
      <w:r>
        <w:rPr>
          <w:spacing w:val="15"/>
        </w:rPr>
        <w:t>本表中的数据进行动态调整，规划数相应进行动态更新，</w:t>
      </w:r>
      <w:r>
        <w:rPr>
          <w:spacing w:val="-51"/>
        </w:rPr>
        <w:t xml:space="preserve"> </w:t>
      </w:r>
      <w:r>
        <w:rPr>
          <w:spacing w:val="15"/>
        </w:rPr>
        <w:t>以每季度最后一次公示的数据为准。</w:t>
      </w:r>
    </w:p>
    <w:p w14:paraId="73DA5C97">
      <w:pPr>
        <w:pStyle w:val="4"/>
        <w:spacing w:before="42" w:line="227" w:lineRule="auto"/>
        <w:ind w:left="3"/>
      </w:pPr>
      <w:r>
        <w:rPr>
          <w:spacing w:val="14"/>
        </w:rPr>
        <w:t>3.本数据由云南省元江哈尼族彝族傣族自治县烟草专卖局负责解释，咨询电话：0877-6013682。</w:t>
      </w:r>
    </w:p>
    <w:p w14:paraId="79889B74">
      <w:pPr>
        <w:spacing w:before="104" w:line="224" w:lineRule="auto"/>
        <w:ind w:left="619"/>
        <w:rPr>
          <w:rFonts w:hint="eastAsia" w:ascii="黑体" w:hAnsi="黑体" w:eastAsia="黑体" w:cs="黑体"/>
          <w:spacing w:val="8"/>
          <w:sz w:val="32"/>
          <w:szCs w:val="32"/>
        </w:rPr>
        <w:sectPr>
          <w:pgSz w:w="16838" w:h="11906" w:orient="landscape"/>
          <w:pgMar w:top="1531" w:right="1440" w:bottom="1531" w:left="1440" w:header="851" w:footer="992" w:gutter="0"/>
          <w:pgNumType w:fmt="numberInDash"/>
          <w:cols w:space="425" w:num="1"/>
          <w:docGrid w:type="lines" w:linePitch="312" w:charSpace="0"/>
        </w:sectPr>
      </w:pPr>
    </w:p>
    <w:p w14:paraId="704B892A">
      <w:pPr>
        <w:ind w:firstLine="672"/>
        <w:rPr>
          <w:rFonts w:ascii="黑体" w:hAnsi="黑体" w:eastAsia="黑体" w:cs="黑体"/>
          <w:spacing w:val="8"/>
          <w:sz w:val="32"/>
          <w:szCs w:val="32"/>
        </w:rPr>
      </w:pPr>
      <w:r>
        <w:rPr>
          <w:rFonts w:hint="eastAsia" w:ascii="黑体" w:hAnsi="黑体" w:eastAsia="黑体" w:cs="黑体"/>
          <w:spacing w:val="8"/>
          <w:sz w:val="32"/>
          <w:szCs w:val="32"/>
        </w:rPr>
        <w:t>附件</w:t>
      </w:r>
      <w:r>
        <w:rPr>
          <w:rFonts w:ascii="黑体" w:hAnsi="黑体" w:eastAsia="黑体" w:cs="黑体"/>
          <w:spacing w:val="8"/>
          <w:sz w:val="32"/>
          <w:szCs w:val="32"/>
        </w:rPr>
        <w:t>3</w:t>
      </w:r>
    </w:p>
    <w:p w14:paraId="1CD9F304">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云南省元江哈尼族彝族傣族自治县烟草制品零售点</w:t>
      </w:r>
    </w:p>
    <w:p w14:paraId="704CA383">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rPr>
        <w:drawing>
          <wp:anchor distT="0" distB="0" distL="114300" distR="114300" simplePos="0" relativeHeight="251659264" behindDoc="0" locked="0" layoutInCell="1" allowOverlap="1">
            <wp:simplePos x="0" y="0"/>
            <wp:positionH relativeFrom="column">
              <wp:posOffset>1844675</wp:posOffset>
            </wp:positionH>
            <wp:positionV relativeFrom="paragraph">
              <wp:posOffset>466725</wp:posOffset>
            </wp:positionV>
            <wp:extent cx="5584190" cy="3858895"/>
            <wp:effectExtent l="0" t="0" r="16510" b="8255"/>
            <wp:wrapNone/>
            <wp:docPr id="4" name="图片 2"/>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896ffac2-a0f9-48fe-bf1f-0bbb5aa133a8}"/>
                  </s:tag>
                </a:ext>
              </a:extLst>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5"/>
                    <a:stretch>
                      <a:fillRect/>
                    </a:stretch>
                  </pic:blipFill>
                  <pic:spPr>
                    <a:xfrm>
                      <a:off x="0" y="0"/>
                      <a:ext cx="5584190" cy="3858895"/>
                    </a:xfrm>
                    <a:prstGeom prst="rect">
                      <a:avLst/>
                    </a:prstGeom>
                    <a:noFill/>
                    <a:ln>
                      <a:noFill/>
                    </a:ln>
                  </pic:spPr>
                </pic:pic>
              </a:graphicData>
            </a:graphic>
          </wp:anchor>
        </w:drawing>
      </w:r>
      <w:r>
        <w:rPr>
          <w:rFonts w:hint="eastAsia" w:ascii="方正小标宋_GBK" w:hAnsi="方正小标宋_GBK" w:eastAsia="方正小标宋_GBK" w:cs="方正小标宋_GBK"/>
          <w:sz w:val="44"/>
          <w:szCs w:val="44"/>
        </w:rPr>
        <w:t>合理布局网格示意图</w:t>
      </w:r>
    </w:p>
    <w:p w14:paraId="4729C83C">
      <w:pPr>
        <w:ind w:firstLine="0" w:firstLineChars="0"/>
        <w:jc w:val="center"/>
        <w:rPr>
          <w:rFonts w:ascii="仿宋_GB2312" w:hAnsi="仿宋_GB2312" w:cs="仿宋_GB2312"/>
          <w:sz w:val="24"/>
        </w:rPr>
      </w:pPr>
    </w:p>
    <w:p w14:paraId="28F37227">
      <w:pPr>
        <w:ind w:right="-31" w:rightChars="-15" w:firstLine="0" w:firstLineChars="0"/>
        <w:jc w:val="center"/>
        <w:rPr>
          <w:rFonts w:hint="eastAsia" w:ascii="仿宋_GB2312" w:hAnsi="仿宋_GB2312" w:eastAsia="仿宋_GB2312" w:cs="仿宋_GB2312"/>
          <w:sz w:val="32"/>
          <w:szCs w:val="32"/>
          <w:lang w:eastAsia="zh-CN"/>
        </w:rPr>
      </w:pPr>
    </w:p>
    <w:p w14:paraId="7877128A">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769A059D">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1C3D8D98">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766591F2">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63222A94">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44E970C1">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17295E0A">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48AB8018">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lang w:val="en-US" w:eastAsia="zh-CN"/>
        </w:rPr>
      </w:pPr>
      <w:r>
        <w:rPr>
          <w:rFonts w:hint="eastAsia" w:ascii="黑体" w:hAnsi="黑体" w:eastAsia="黑体" w:cs="黑体"/>
          <w:spacing w:val="8"/>
          <w:sz w:val="28"/>
          <w:szCs w:val="28"/>
        </w:rPr>
        <w:t>附件</w:t>
      </w:r>
      <w:r>
        <w:rPr>
          <w:rFonts w:hint="eastAsia" w:ascii="黑体" w:hAnsi="黑体" w:eastAsia="黑体" w:cs="黑体"/>
          <w:spacing w:val="8"/>
          <w:sz w:val="28"/>
          <w:szCs w:val="28"/>
          <w:lang w:val="en-US" w:eastAsia="zh-CN"/>
        </w:rPr>
        <w:t>4</w:t>
      </w:r>
      <w:bookmarkStart w:id="2" w:name="_GoBack"/>
      <w:bookmarkEnd w:id="2"/>
    </w:p>
    <w:p w14:paraId="7AC7B54E">
      <w:pPr>
        <w:keepNext w:val="0"/>
        <w:keepLines w:val="0"/>
        <w:pageBreakBefore w:val="0"/>
        <w:kinsoku/>
        <w:wordWrap/>
        <w:overflowPunct/>
        <w:topLinePunct w:val="0"/>
        <w:autoSpaceDE/>
        <w:autoSpaceDN/>
        <w:bidi w:val="0"/>
        <w:adjustRightInd/>
        <w:snapToGrid/>
        <w:spacing w:before="42" w:line="360" w:lineRule="auto"/>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云南省元江哈尼族彝族傣族自治县雪茄烟专营零售点合理布局公示表</w:t>
      </w:r>
    </w:p>
    <w:p w14:paraId="3CC5FD21">
      <w:pPr>
        <w:keepNext w:val="0"/>
        <w:keepLines w:val="0"/>
        <w:pageBreakBefore w:val="0"/>
        <w:kinsoku/>
        <w:wordWrap/>
        <w:overflowPunct/>
        <w:topLinePunct w:val="0"/>
        <w:autoSpaceDE/>
        <w:autoSpaceDN/>
        <w:bidi w:val="0"/>
        <w:adjustRightInd/>
        <w:snapToGrid/>
        <w:spacing w:line="360" w:lineRule="auto"/>
        <w:ind w:firstLine="400" w:firstLineChars="200"/>
        <w:rPr>
          <w:sz w:val="20"/>
          <w:szCs w:val="22"/>
        </w:rPr>
      </w:pPr>
      <w:r>
        <w:rPr>
          <w:rFonts w:hint="eastAsia"/>
          <w:sz w:val="20"/>
          <w:szCs w:val="22"/>
        </w:rPr>
        <w:t>单位：云南省元江哈尼族彝族傣族自治县</w:t>
      </w:r>
      <w:r>
        <w:rPr>
          <w:rFonts w:hint="eastAsia"/>
          <w:sz w:val="20"/>
          <w:szCs w:val="22"/>
          <w:lang w:val="en-US" w:eastAsia="zh-CN"/>
        </w:rPr>
        <w:t>烟草专卖局</w:t>
      </w:r>
      <w:r>
        <w:rPr>
          <w:rFonts w:hint="eastAsia"/>
          <w:sz w:val="20"/>
          <w:szCs w:val="22"/>
        </w:rPr>
        <w:t xml:space="preserve">                       </w:t>
      </w:r>
      <w:r>
        <w:rPr>
          <w:rFonts w:hint="eastAsia"/>
          <w:sz w:val="20"/>
          <w:szCs w:val="22"/>
          <w:lang w:val="en-US" w:eastAsia="zh-CN"/>
        </w:rPr>
        <w:t xml:space="preserve">    </w:t>
      </w:r>
      <w:r>
        <w:rPr>
          <w:rFonts w:hint="eastAsia"/>
          <w:sz w:val="20"/>
          <w:szCs w:val="22"/>
        </w:rPr>
        <w:t xml:space="preserve">  公示时间：</w:t>
      </w:r>
      <w:r>
        <w:rPr>
          <w:rFonts w:hint="eastAsia" w:ascii="Arial" w:hAnsi="Arial" w:eastAsia="宋体" w:cs="Arial"/>
          <w:spacing w:val="7"/>
          <w:position w:val="1"/>
          <w:sz w:val="19"/>
          <w:szCs w:val="19"/>
          <w:lang w:val="en-US" w:eastAsia="zh-CN"/>
        </w:rPr>
        <w:t xml:space="preserve">     </w:t>
      </w:r>
      <w:r>
        <w:rPr>
          <w:rFonts w:ascii="Arial" w:hAnsi="Arial" w:eastAsia="Arial" w:cs="Arial"/>
          <w:spacing w:val="18"/>
          <w:position w:val="1"/>
          <w:sz w:val="19"/>
          <w:szCs w:val="19"/>
        </w:rPr>
        <w:t xml:space="preserve"> </w:t>
      </w:r>
      <w:r>
        <w:rPr>
          <w:rFonts w:ascii="宋体" w:hAnsi="宋体" w:eastAsia="宋体" w:cs="宋体"/>
          <w:spacing w:val="7"/>
          <w:position w:val="1"/>
          <w:sz w:val="19"/>
          <w:szCs w:val="19"/>
        </w:rPr>
        <w:t>年</w:t>
      </w:r>
      <w:r>
        <w:rPr>
          <w:rFonts w:ascii="宋体" w:hAnsi="宋体" w:eastAsia="宋体" w:cs="宋体"/>
          <w:spacing w:val="-24"/>
          <w:position w:val="1"/>
          <w:sz w:val="19"/>
          <w:szCs w:val="19"/>
        </w:rPr>
        <w:t xml:space="preserve"> </w:t>
      </w:r>
      <w:r>
        <w:rPr>
          <w:rFonts w:hint="eastAsia" w:cs="Arial"/>
          <w:spacing w:val="7"/>
          <w:position w:val="1"/>
          <w:sz w:val="19"/>
          <w:szCs w:val="19"/>
          <w:lang w:val="en-US" w:eastAsia="zh-CN"/>
        </w:rPr>
        <w:t xml:space="preserve">    </w:t>
      </w:r>
      <w:r>
        <w:rPr>
          <w:rFonts w:ascii="宋体" w:hAnsi="宋体" w:eastAsia="宋体" w:cs="宋体"/>
          <w:spacing w:val="7"/>
          <w:position w:val="1"/>
          <w:sz w:val="19"/>
          <w:szCs w:val="19"/>
        </w:rPr>
        <w:t>月</w:t>
      </w:r>
      <w:r>
        <w:rPr>
          <w:rFonts w:ascii="宋体" w:hAnsi="宋体" w:eastAsia="宋体" w:cs="宋体"/>
          <w:spacing w:val="-22"/>
          <w:position w:val="1"/>
          <w:sz w:val="19"/>
          <w:szCs w:val="19"/>
        </w:rPr>
        <w:t xml:space="preserve"> </w:t>
      </w:r>
      <w:r>
        <w:rPr>
          <w:rFonts w:hint="eastAsia" w:ascii="Arial" w:hAnsi="Arial" w:eastAsia="宋体" w:cs="Arial"/>
          <w:spacing w:val="7"/>
          <w:position w:val="1"/>
          <w:sz w:val="19"/>
          <w:szCs w:val="19"/>
          <w:lang w:val="en-US" w:eastAsia="zh-CN"/>
        </w:rPr>
        <w:t xml:space="preserve">   </w:t>
      </w:r>
      <w:r>
        <w:rPr>
          <w:rFonts w:ascii="Arial" w:hAnsi="Arial" w:eastAsia="Arial" w:cs="Arial"/>
          <w:spacing w:val="7"/>
          <w:position w:val="1"/>
          <w:sz w:val="19"/>
          <w:szCs w:val="19"/>
        </w:rPr>
        <w:t xml:space="preserve"> </w:t>
      </w:r>
      <w:r>
        <w:rPr>
          <w:rFonts w:ascii="宋体" w:hAnsi="宋体" w:eastAsia="宋体" w:cs="宋体"/>
          <w:spacing w:val="7"/>
          <w:position w:val="1"/>
          <w:sz w:val="19"/>
          <w:szCs w:val="19"/>
        </w:rPr>
        <w:t>日</w:t>
      </w:r>
      <w:r>
        <w:rPr>
          <w:rFonts w:hint="eastAsia" w:ascii="宋体" w:hAnsi="宋体" w:eastAsia="宋体" w:cs="宋体"/>
          <w:spacing w:val="7"/>
          <w:position w:val="1"/>
          <w:sz w:val="19"/>
          <w:szCs w:val="19"/>
          <w:lang w:val="en-US" w:eastAsia="zh-CN"/>
        </w:rPr>
        <w:t xml:space="preserve"> </w:t>
      </w:r>
      <w:r>
        <w:rPr>
          <w:rFonts w:hint="eastAsia" w:ascii="Arial" w:hAnsi="Arial" w:eastAsia="宋体" w:cs="Arial"/>
          <w:spacing w:val="7"/>
          <w:position w:val="1"/>
          <w:sz w:val="19"/>
          <w:szCs w:val="19"/>
          <w:lang w:val="en-US" w:eastAsia="zh-CN"/>
        </w:rPr>
        <w:t xml:space="preserve">   </w:t>
      </w:r>
      <w:r>
        <w:rPr>
          <w:rFonts w:ascii="Arial" w:hAnsi="Arial" w:eastAsia="Arial" w:cs="Arial"/>
          <w:spacing w:val="21"/>
          <w:position w:val="1"/>
          <w:sz w:val="19"/>
          <w:szCs w:val="19"/>
        </w:rPr>
        <w:t xml:space="preserve"> </w:t>
      </w:r>
      <w:r>
        <w:rPr>
          <w:rFonts w:ascii="宋体" w:hAnsi="宋体" w:eastAsia="宋体" w:cs="宋体"/>
          <w:spacing w:val="7"/>
          <w:position w:val="1"/>
          <w:sz w:val="19"/>
          <w:szCs w:val="19"/>
        </w:rPr>
        <w:t>年</w:t>
      </w:r>
      <w:r>
        <w:rPr>
          <w:rFonts w:hint="eastAsia" w:ascii="宋体" w:hAnsi="宋体" w:cs="宋体"/>
          <w:spacing w:val="-27"/>
          <w:position w:val="1"/>
          <w:sz w:val="19"/>
          <w:szCs w:val="19"/>
          <w:lang w:val="en-US" w:eastAsia="zh-CN"/>
        </w:rPr>
        <w:t xml:space="preserve">        </w:t>
      </w:r>
      <w:r>
        <w:rPr>
          <w:rFonts w:hint="eastAsia" w:eastAsia="宋体" w:cs="Arial"/>
          <w:spacing w:val="7"/>
          <w:position w:val="1"/>
          <w:sz w:val="19"/>
          <w:szCs w:val="19"/>
          <w:lang w:val="en-US" w:eastAsia="zh-CN"/>
        </w:rPr>
        <w:t xml:space="preserve"> </w:t>
      </w:r>
      <w:r>
        <w:rPr>
          <w:rFonts w:ascii="宋体" w:hAnsi="宋体" w:eastAsia="宋体" w:cs="宋体"/>
          <w:spacing w:val="7"/>
          <w:position w:val="1"/>
          <w:sz w:val="19"/>
          <w:szCs w:val="19"/>
        </w:rPr>
        <w:t>月</w:t>
      </w:r>
      <w:r>
        <w:rPr>
          <w:rFonts w:hint="eastAsia" w:ascii="Arial" w:hAnsi="Arial" w:eastAsia="宋体" w:cs="Arial"/>
          <w:spacing w:val="7"/>
          <w:position w:val="1"/>
          <w:sz w:val="19"/>
          <w:szCs w:val="19"/>
          <w:lang w:val="en-US" w:eastAsia="zh-CN"/>
        </w:rPr>
        <w:t xml:space="preserve">    </w:t>
      </w:r>
      <w:r>
        <w:rPr>
          <w:rFonts w:ascii="宋体" w:hAnsi="宋体" w:eastAsia="宋体" w:cs="宋体"/>
          <w:spacing w:val="7"/>
          <w:position w:val="1"/>
          <w:sz w:val="19"/>
          <w:szCs w:val="19"/>
        </w:rPr>
        <w:t>日</w:t>
      </w:r>
    </w:p>
    <w:tbl>
      <w:tblPr>
        <w:tblStyle w:val="24"/>
        <w:tblpPr w:leftFromText="180" w:rightFromText="180" w:vertAnchor="text" w:horzAnchor="page" w:tblpX="1789" w:tblpY="151"/>
        <w:tblOverlap w:val="never"/>
        <w:tblW w:w="490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46"/>
        <w:gridCol w:w="3671"/>
        <w:gridCol w:w="1850"/>
        <w:gridCol w:w="2578"/>
        <w:gridCol w:w="1795"/>
        <w:gridCol w:w="1651"/>
      </w:tblGrid>
      <w:tr w14:paraId="46CB6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2145" w:type="dxa"/>
            <w:tcBorders>
              <w:top w:val="single" w:color="auto" w:sz="4" w:space="0"/>
              <w:left w:val="single" w:color="auto" w:sz="4" w:space="0"/>
              <w:right w:val="single" w:color="auto" w:sz="4" w:space="0"/>
            </w:tcBorders>
            <w:vAlign w:val="center"/>
          </w:tcPr>
          <w:p w14:paraId="0C0DBC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烟草零售点总规划数（个）</w:t>
            </w:r>
          </w:p>
        </w:tc>
        <w:tc>
          <w:tcPr>
            <w:tcW w:w="3669" w:type="dxa"/>
            <w:tcBorders>
              <w:left w:val="single" w:color="auto" w:sz="4" w:space="0"/>
            </w:tcBorders>
            <w:vAlign w:val="center"/>
          </w:tcPr>
          <w:p w14:paraId="0AEF19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类型</w:t>
            </w:r>
          </w:p>
        </w:tc>
        <w:tc>
          <w:tcPr>
            <w:tcW w:w="1849" w:type="dxa"/>
            <w:vAlign w:val="center"/>
          </w:tcPr>
          <w:p w14:paraId="24B1A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规划数（个）</w:t>
            </w:r>
          </w:p>
        </w:tc>
        <w:tc>
          <w:tcPr>
            <w:tcW w:w="2576" w:type="dxa"/>
            <w:vAlign w:val="center"/>
          </w:tcPr>
          <w:p w14:paraId="130F73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当前实际数（个）</w:t>
            </w:r>
          </w:p>
        </w:tc>
        <w:tc>
          <w:tcPr>
            <w:tcW w:w="1794" w:type="dxa"/>
            <w:vAlign w:val="center"/>
          </w:tcPr>
          <w:p w14:paraId="08FC0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余量</w:t>
            </w:r>
          </w:p>
        </w:tc>
        <w:tc>
          <w:tcPr>
            <w:tcW w:w="1650" w:type="dxa"/>
            <w:tcBorders>
              <w:right w:val="single" w:color="auto" w:sz="4" w:space="0"/>
            </w:tcBorders>
            <w:vAlign w:val="center"/>
          </w:tcPr>
          <w:p w14:paraId="76E184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备注</w:t>
            </w:r>
          </w:p>
        </w:tc>
      </w:tr>
      <w:tr w14:paraId="13790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2145" w:type="dxa"/>
            <w:vMerge w:val="restart"/>
            <w:tcBorders>
              <w:left w:val="single" w:color="auto" w:sz="4" w:space="0"/>
              <w:right w:val="single" w:color="auto" w:sz="4" w:space="0"/>
            </w:tcBorders>
            <w:vAlign w:val="center"/>
          </w:tcPr>
          <w:p w14:paraId="07B90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i w:val="0"/>
                <w:iCs w:val="0"/>
                <w:snapToGrid w:val="0"/>
                <w:color w:val="auto"/>
                <w:kern w:val="0"/>
                <w:sz w:val="21"/>
                <w:szCs w:val="21"/>
                <w:u w:val="none"/>
                <w:lang w:val="en-US" w:eastAsia="zh-CN"/>
              </w:rPr>
              <w:t>1260</w:t>
            </w:r>
          </w:p>
        </w:tc>
        <w:tc>
          <w:tcPr>
            <w:tcW w:w="3669" w:type="dxa"/>
            <w:tcBorders>
              <w:left w:val="single" w:color="auto" w:sz="4" w:space="0"/>
            </w:tcBorders>
            <w:vAlign w:val="center"/>
          </w:tcPr>
          <w:p w14:paraId="2707A8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i w:val="0"/>
                <w:iCs w:val="0"/>
                <w:snapToGrid w:val="0"/>
                <w:color w:val="auto"/>
                <w:kern w:val="0"/>
                <w:sz w:val="21"/>
                <w:szCs w:val="21"/>
                <w:u w:val="none"/>
                <w:lang w:val="en-US" w:eastAsia="zh-CN"/>
              </w:rPr>
              <w:t>卷烟</w:t>
            </w:r>
            <w:r>
              <w:rPr>
                <w:rFonts w:hint="eastAsia" w:ascii="宋体" w:hAnsi="宋体" w:cs="宋体"/>
                <w:i w:val="0"/>
                <w:iCs w:val="0"/>
                <w:snapToGrid w:val="0"/>
                <w:color w:val="auto"/>
                <w:kern w:val="0"/>
                <w:sz w:val="21"/>
                <w:szCs w:val="21"/>
                <w:u w:val="none"/>
                <w:lang w:val="en-US" w:eastAsia="zh-CN"/>
              </w:rPr>
              <w:t>、</w:t>
            </w:r>
            <w:r>
              <w:rPr>
                <w:rFonts w:hint="eastAsia" w:ascii="宋体" w:hAnsi="宋体" w:eastAsia="宋体" w:cs="宋体"/>
                <w:i w:val="0"/>
                <w:iCs w:val="0"/>
                <w:snapToGrid w:val="0"/>
                <w:color w:val="auto"/>
                <w:kern w:val="0"/>
                <w:sz w:val="21"/>
                <w:szCs w:val="21"/>
                <w:u w:val="none"/>
                <w:lang w:val="en-US" w:eastAsia="zh-CN"/>
              </w:rPr>
              <w:t>雪茄烟零售点</w:t>
            </w:r>
          </w:p>
        </w:tc>
        <w:tc>
          <w:tcPr>
            <w:tcW w:w="1849" w:type="dxa"/>
            <w:vAlign w:val="center"/>
          </w:tcPr>
          <w:p w14:paraId="66BAEB7F">
            <w:pPr>
              <w:kinsoku/>
              <w:autoSpaceDE/>
              <w:autoSpaceDN/>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snapToGrid w:val="0"/>
                <w:color w:val="auto"/>
                <w:lang w:eastAsia="zh-CN"/>
              </w:rPr>
              <w:t>1200</w:t>
            </w:r>
          </w:p>
        </w:tc>
        <w:tc>
          <w:tcPr>
            <w:tcW w:w="2576" w:type="dxa"/>
            <w:vAlign w:val="center"/>
          </w:tcPr>
          <w:p w14:paraId="3C101BA5">
            <w:pPr>
              <w:kinsoku/>
              <w:autoSpaceDE/>
              <w:autoSpaceDN/>
              <w:adjustRightInd/>
              <w:snapToGrid/>
              <w:spacing w:line="360" w:lineRule="auto"/>
              <w:jc w:val="center"/>
              <w:textAlignment w:val="center"/>
              <w:rPr>
                <w:rFonts w:hint="default"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1173</w:t>
            </w:r>
          </w:p>
        </w:tc>
        <w:tc>
          <w:tcPr>
            <w:tcW w:w="1794" w:type="dxa"/>
            <w:vAlign w:val="center"/>
          </w:tcPr>
          <w:p w14:paraId="4932DD4F">
            <w:pPr>
              <w:kinsoku/>
              <w:autoSpaceDE/>
              <w:autoSpaceDN/>
              <w:adjustRightInd/>
              <w:snapToGrid/>
              <w:spacing w:line="360" w:lineRule="auto"/>
              <w:jc w:val="center"/>
              <w:textAlignment w:val="center"/>
              <w:rPr>
                <w:rFonts w:hint="default"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27</w:t>
            </w:r>
          </w:p>
        </w:tc>
        <w:tc>
          <w:tcPr>
            <w:tcW w:w="1650" w:type="dxa"/>
            <w:tcBorders>
              <w:right w:val="single" w:color="auto" w:sz="4" w:space="0"/>
            </w:tcBorders>
            <w:vAlign w:val="center"/>
          </w:tcPr>
          <w:p w14:paraId="43CF5CC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napToGrid w:val="0"/>
                <w:color w:val="auto"/>
                <w:spacing w:val="-1"/>
                <w:sz w:val="21"/>
                <w:szCs w:val="21"/>
                <w:lang w:val="en-US" w:eastAsia="zh-CN"/>
              </w:rPr>
            </w:pPr>
          </w:p>
        </w:tc>
      </w:tr>
      <w:tr w14:paraId="4FDD7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5" w:hRule="atLeast"/>
        </w:trPr>
        <w:tc>
          <w:tcPr>
            <w:tcW w:w="2145" w:type="dxa"/>
            <w:vMerge w:val="continue"/>
            <w:tcBorders>
              <w:left w:val="single" w:color="auto" w:sz="4" w:space="0"/>
              <w:bottom w:val="single" w:color="auto" w:sz="4" w:space="0"/>
              <w:right w:val="single" w:color="auto" w:sz="4" w:space="0"/>
            </w:tcBorders>
            <w:vAlign w:val="center"/>
          </w:tcPr>
          <w:p w14:paraId="30B2E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p>
        </w:tc>
        <w:tc>
          <w:tcPr>
            <w:tcW w:w="3669" w:type="dxa"/>
            <w:tcBorders>
              <w:left w:val="single" w:color="auto" w:sz="4" w:space="0"/>
              <w:bottom w:val="single" w:color="auto" w:sz="4" w:space="0"/>
            </w:tcBorders>
            <w:vAlign w:val="center"/>
          </w:tcPr>
          <w:p w14:paraId="6E6F1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i w:val="0"/>
                <w:iCs w:val="0"/>
                <w:snapToGrid w:val="0"/>
                <w:color w:val="auto"/>
                <w:kern w:val="0"/>
                <w:sz w:val="21"/>
                <w:szCs w:val="21"/>
                <w:u w:val="none"/>
                <w:lang w:val="en-US" w:eastAsia="zh-CN"/>
              </w:rPr>
              <w:t>雪茄烟专营店零售点</w:t>
            </w:r>
          </w:p>
        </w:tc>
        <w:tc>
          <w:tcPr>
            <w:tcW w:w="1849" w:type="dxa"/>
            <w:tcBorders>
              <w:bottom w:val="single" w:color="auto" w:sz="4" w:space="0"/>
            </w:tcBorders>
            <w:vAlign w:val="center"/>
          </w:tcPr>
          <w:p w14:paraId="05AB0CC8">
            <w:pPr>
              <w:kinsoku/>
              <w:autoSpaceDE/>
              <w:autoSpaceDN/>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snapToGrid w:val="0"/>
                <w:color w:val="auto"/>
                <w:lang w:eastAsia="zh-CN"/>
              </w:rPr>
              <w:t>60</w:t>
            </w:r>
          </w:p>
        </w:tc>
        <w:tc>
          <w:tcPr>
            <w:tcW w:w="2576" w:type="dxa"/>
            <w:tcBorders>
              <w:bottom w:val="single" w:color="auto" w:sz="4" w:space="0"/>
            </w:tcBorders>
            <w:vAlign w:val="center"/>
          </w:tcPr>
          <w:p w14:paraId="5F7DF9EC">
            <w:pPr>
              <w:kinsoku/>
              <w:autoSpaceDE/>
              <w:autoSpaceDN/>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1</w:t>
            </w:r>
          </w:p>
        </w:tc>
        <w:tc>
          <w:tcPr>
            <w:tcW w:w="1794" w:type="dxa"/>
            <w:tcBorders>
              <w:bottom w:val="single" w:color="auto" w:sz="4" w:space="0"/>
            </w:tcBorders>
            <w:vAlign w:val="center"/>
          </w:tcPr>
          <w:p w14:paraId="3C0A88DF">
            <w:pPr>
              <w:kinsoku/>
              <w:autoSpaceDE/>
              <w:autoSpaceDN/>
              <w:adjustRightInd/>
              <w:snapToGrid/>
              <w:spacing w:line="360" w:lineRule="auto"/>
              <w:jc w:val="center"/>
              <w:textAlignment w:val="center"/>
              <w:rPr>
                <w:rFonts w:hint="default"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59</w:t>
            </w:r>
          </w:p>
        </w:tc>
        <w:tc>
          <w:tcPr>
            <w:tcW w:w="1650" w:type="dxa"/>
            <w:tcBorders>
              <w:bottom w:val="single" w:color="auto" w:sz="4" w:space="0"/>
              <w:right w:val="single" w:color="auto" w:sz="4" w:space="0"/>
            </w:tcBorders>
            <w:vAlign w:val="center"/>
          </w:tcPr>
          <w:p w14:paraId="6A768A6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napToGrid w:val="0"/>
                <w:color w:val="auto"/>
                <w:spacing w:val="-1"/>
                <w:sz w:val="21"/>
                <w:szCs w:val="21"/>
                <w:lang w:val="en-US" w:eastAsia="zh-CN"/>
              </w:rPr>
            </w:pPr>
          </w:p>
        </w:tc>
      </w:tr>
    </w:tbl>
    <w:p w14:paraId="1A3716A2">
      <w:pPr>
        <w:keepNext w:val="0"/>
        <w:keepLines w:val="0"/>
        <w:pageBreakBefore w:val="0"/>
        <w:kinsoku/>
        <w:wordWrap/>
        <w:overflowPunct/>
        <w:topLinePunct w:val="0"/>
        <w:autoSpaceDE/>
        <w:autoSpaceDN/>
        <w:bidi w:val="0"/>
        <w:adjustRightInd/>
        <w:snapToGrid/>
        <w:spacing w:before="42" w:line="360" w:lineRule="auto"/>
        <w:ind w:firstLine="396" w:firstLineChars="200"/>
        <w:rPr>
          <w:rFonts w:ascii="宋体" w:hAnsi="宋体" w:cs="宋体"/>
          <w:spacing w:val="-1"/>
          <w:sz w:val="20"/>
          <w:szCs w:val="22"/>
        </w:rPr>
      </w:pPr>
      <w:r>
        <w:rPr>
          <w:rFonts w:ascii="宋体" w:hAnsi="宋体" w:cs="宋体"/>
          <w:color w:val="auto"/>
          <w:spacing w:val="-1"/>
          <w:sz w:val="20"/>
          <w:szCs w:val="22"/>
        </w:rPr>
        <w:t>备注：</w:t>
      </w:r>
    </w:p>
    <w:p w14:paraId="3E2D4EDB">
      <w:pPr>
        <w:keepNext w:val="0"/>
        <w:keepLines w:val="0"/>
        <w:pageBreakBefore w:val="0"/>
        <w:kinsoku/>
        <w:wordWrap/>
        <w:overflowPunct/>
        <w:topLinePunct w:val="0"/>
        <w:autoSpaceDE/>
        <w:autoSpaceDN/>
        <w:bidi w:val="0"/>
        <w:adjustRightInd/>
        <w:snapToGrid/>
        <w:spacing w:before="42" w:line="360" w:lineRule="auto"/>
        <w:ind w:firstLine="396" w:firstLineChars="200"/>
        <w:rPr>
          <w:rFonts w:ascii="宋体" w:hAnsi="宋体" w:cs="宋体"/>
          <w:spacing w:val="-1"/>
          <w:sz w:val="20"/>
          <w:szCs w:val="22"/>
        </w:rPr>
      </w:pPr>
      <w:r>
        <w:rPr>
          <w:rFonts w:hint="eastAsia" w:ascii="宋体" w:hAnsi="宋体" w:cs="宋体"/>
          <w:spacing w:val="-1"/>
          <w:sz w:val="20"/>
          <w:szCs w:val="22"/>
        </w:rPr>
        <w:t>1.本公示表的数据根据</w:t>
      </w:r>
      <w:r>
        <w:rPr>
          <w:rFonts w:hint="eastAsia" w:ascii="宋体" w:hAnsi="宋体" w:cs="宋体"/>
          <w:spacing w:val="-1"/>
          <w:sz w:val="20"/>
          <w:szCs w:val="22"/>
          <w:lang w:val="en-US" w:eastAsia="zh-CN"/>
        </w:rPr>
        <w:t>辖区雪茄烟</w:t>
      </w:r>
      <w:r>
        <w:rPr>
          <w:rFonts w:hint="eastAsia" w:ascii="宋体" w:hAnsi="宋体" w:cs="宋体"/>
          <w:spacing w:val="-1"/>
          <w:sz w:val="20"/>
          <w:szCs w:val="22"/>
        </w:rPr>
        <w:t>零售点布局规划实行定期评价、动态管理。</w:t>
      </w:r>
    </w:p>
    <w:p w14:paraId="64E95E5A">
      <w:pPr>
        <w:keepNext w:val="0"/>
        <w:keepLines w:val="0"/>
        <w:pageBreakBefore w:val="0"/>
        <w:kinsoku/>
        <w:wordWrap/>
        <w:overflowPunct/>
        <w:topLinePunct w:val="0"/>
        <w:autoSpaceDE/>
        <w:autoSpaceDN/>
        <w:bidi w:val="0"/>
        <w:adjustRightInd/>
        <w:snapToGrid/>
        <w:spacing w:before="42" w:line="360" w:lineRule="auto"/>
        <w:ind w:left="420" w:leftChars="200"/>
        <w:rPr>
          <w:rFonts w:ascii="宋体" w:hAnsi="宋体" w:cs="宋体"/>
          <w:spacing w:val="-1"/>
          <w:sz w:val="20"/>
          <w:szCs w:val="22"/>
        </w:rPr>
      </w:pPr>
      <w:r>
        <w:rPr>
          <w:rFonts w:hint="eastAsia" w:ascii="宋体" w:hAnsi="宋体" w:cs="宋体"/>
          <w:spacing w:val="-1"/>
          <w:sz w:val="20"/>
          <w:szCs w:val="22"/>
        </w:rPr>
        <w:t>2每季度根据经济发展、城乡建设、市场形势等变化情况对本表中的数据进行动态调整，规划数相应进行动态更新，以每季度最后一次公示的数据为准。</w:t>
      </w:r>
    </w:p>
    <w:p w14:paraId="19E69926">
      <w:pPr>
        <w:keepNext w:val="0"/>
        <w:keepLines w:val="0"/>
        <w:pageBreakBefore w:val="0"/>
        <w:kinsoku/>
        <w:wordWrap/>
        <w:overflowPunct/>
        <w:topLinePunct w:val="0"/>
        <w:autoSpaceDE/>
        <w:autoSpaceDN/>
        <w:bidi w:val="0"/>
        <w:adjustRightInd/>
        <w:snapToGrid/>
        <w:spacing w:line="360" w:lineRule="auto"/>
        <w:ind w:firstLine="396" w:firstLineChars="200"/>
        <w:rPr>
          <w:rFonts w:hint="eastAsia" w:ascii="宋体" w:hAnsi="宋体" w:cs="宋体"/>
          <w:spacing w:val="-1"/>
          <w:sz w:val="20"/>
          <w:szCs w:val="22"/>
          <w:lang w:val="en-US" w:eastAsia="zh-CN"/>
        </w:rPr>
        <w:sectPr>
          <w:pgSz w:w="16838" w:h="11906" w:orient="landscape"/>
          <w:pgMar w:top="1531" w:right="1440" w:bottom="1531" w:left="1440" w:header="851" w:footer="992" w:gutter="0"/>
          <w:pgNumType w:fmt="numberInDash"/>
          <w:cols w:space="425" w:num="1"/>
          <w:docGrid w:type="lines" w:linePitch="312" w:charSpace="0"/>
        </w:sectPr>
      </w:pPr>
      <w:r>
        <w:rPr>
          <w:rFonts w:hint="eastAsia" w:ascii="宋体" w:hAnsi="宋体" w:cs="宋体"/>
          <w:spacing w:val="-1"/>
          <w:sz w:val="20"/>
          <w:szCs w:val="22"/>
        </w:rPr>
        <w:t>3.本数据由云南省</w:t>
      </w:r>
      <w:r>
        <w:rPr>
          <w:rFonts w:hint="eastAsia" w:ascii="宋体" w:hAnsi="宋体" w:cs="宋体"/>
          <w:spacing w:val="-1"/>
          <w:sz w:val="20"/>
          <w:szCs w:val="22"/>
          <w:lang w:eastAsia="zh-CN"/>
        </w:rPr>
        <w:t>元江</w:t>
      </w:r>
      <w:r>
        <w:rPr>
          <w:rFonts w:hint="eastAsia" w:ascii="宋体" w:hAnsi="宋体" w:cs="宋体"/>
          <w:spacing w:val="-1"/>
          <w:sz w:val="20"/>
          <w:szCs w:val="22"/>
          <w:lang w:val="en-US" w:eastAsia="zh-CN"/>
        </w:rPr>
        <w:t>哈尼族彝族傣族自治</w:t>
      </w:r>
      <w:r>
        <w:rPr>
          <w:rFonts w:hint="eastAsia" w:ascii="宋体" w:hAnsi="宋体" w:cs="宋体"/>
          <w:spacing w:val="-1"/>
          <w:sz w:val="20"/>
          <w:szCs w:val="22"/>
          <w:lang w:eastAsia="zh-CN"/>
        </w:rPr>
        <w:t>县</w:t>
      </w:r>
      <w:r>
        <w:rPr>
          <w:rFonts w:hint="eastAsia" w:ascii="宋体" w:hAnsi="宋体" w:cs="宋体"/>
          <w:spacing w:val="-1"/>
          <w:sz w:val="20"/>
          <w:szCs w:val="22"/>
        </w:rPr>
        <w:t>烟草专卖局负责解释，咨询电话：</w:t>
      </w:r>
      <w:r>
        <w:rPr>
          <w:rFonts w:ascii="宋体" w:hAnsi="宋体" w:cs="宋体"/>
          <w:spacing w:val="-1"/>
          <w:sz w:val="20"/>
          <w:szCs w:val="22"/>
        </w:rPr>
        <w:t>087</w:t>
      </w:r>
      <w:r>
        <w:rPr>
          <w:rFonts w:hint="eastAsia" w:ascii="宋体" w:hAnsi="宋体" w:cs="宋体"/>
          <w:spacing w:val="-1"/>
          <w:sz w:val="20"/>
          <w:szCs w:val="22"/>
          <w:lang w:val="en-US" w:eastAsia="zh-CN"/>
        </w:rPr>
        <w:t>7</w:t>
      </w:r>
      <w:r>
        <w:rPr>
          <w:rFonts w:ascii="宋体" w:hAnsi="宋体" w:cs="宋体"/>
          <w:spacing w:val="-1"/>
          <w:sz w:val="20"/>
          <w:szCs w:val="22"/>
        </w:rPr>
        <w:t>-</w:t>
      </w:r>
      <w:r>
        <w:rPr>
          <w:rFonts w:hint="eastAsia" w:ascii="宋体" w:hAnsi="宋体" w:cs="宋体"/>
          <w:spacing w:val="-1"/>
          <w:sz w:val="20"/>
          <w:szCs w:val="22"/>
          <w:lang w:val="en-US" w:eastAsia="zh-CN"/>
        </w:rPr>
        <w:t xml:space="preserve">6013682。                                                       </w:t>
      </w:r>
    </w:p>
    <w:p w14:paraId="607675A1">
      <w:pPr>
        <w:spacing w:before="104" w:line="224" w:lineRule="auto"/>
        <w:rPr>
          <w:rFonts w:hint="eastAsia" w:ascii="方正小标宋简体" w:eastAsia="黑体"/>
          <w:b/>
          <w:bCs/>
          <w:sz w:val="44"/>
          <w:szCs w:val="44"/>
          <w:lang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5</w:t>
      </w:r>
    </w:p>
    <w:p w14:paraId="7784DCD8">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w:t>
      </w:r>
    </w:p>
    <w:p w14:paraId="42FF849A">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烟草制品零售点合理布局规划数动态调整管理制度</w:t>
      </w:r>
    </w:p>
    <w:p w14:paraId="44FA933E">
      <w:pPr>
        <w:snapToGrid w:val="0"/>
        <w:spacing w:line="317" w:lineRule="auto"/>
        <w:jc w:val="center"/>
        <w:rPr>
          <w:rFonts w:hint="eastAsia" w:ascii="方正小标宋简体" w:eastAsia="方正小标宋简体"/>
          <w:sz w:val="44"/>
          <w:szCs w:val="44"/>
        </w:rPr>
      </w:pPr>
    </w:p>
    <w:p w14:paraId="2AE7110A">
      <w:pPr>
        <w:numPr>
          <w:ilvl w:val="2"/>
          <w:numId w:val="3"/>
        </w:numPr>
        <w:adjustRightInd w:val="0"/>
        <w:snapToGrid w:val="0"/>
        <w:spacing w:line="336" w:lineRule="auto"/>
        <w:ind w:firstLine="680"/>
        <w:jc w:val="left"/>
        <w:rPr>
          <w:rFonts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云南省元江哈尼族彝族傣族自治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5EB48B91">
      <w:pPr>
        <w:numPr>
          <w:ilvl w:val="2"/>
          <w:numId w:val="3"/>
        </w:numPr>
        <w:adjustRightInd w:val="0"/>
        <w:snapToGrid w:val="0"/>
        <w:spacing w:line="336" w:lineRule="auto"/>
        <w:ind w:firstLine="680"/>
        <w:jc w:val="left"/>
        <w:rPr>
          <w:rFonts w:ascii="楷体_GB2312" w:hAnsi="仿宋_GB2312" w:eastAsia="楷体_GB2312" w:cs="仿宋_GB2312"/>
          <w:sz w:val="32"/>
          <w:szCs w:val="32"/>
        </w:rPr>
      </w:pPr>
      <w:r>
        <w:rPr>
          <w:rFonts w:hint="eastAsia" w:ascii="仿宋_GB2312" w:hAnsi="仿宋_GB2312" w:eastAsia="仿宋_GB2312" w:cs="仿宋_GB2312"/>
          <w:kern w:val="28"/>
          <w:sz w:val="32"/>
          <w:szCs w:val="32"/>
        </w:rPr>
        <w:t>根据《云南省元江哈尼族彝族傣族自治县烟草制品零售点合理布局规划》，云南省元江哈尼族彝族傣族自治县</w:t>
      </w:r>
      <w:r>
        <w:rPr>
          <w:rFonts w:hint="eastAsia" w:ascii="仿宋_GB2312" w:hAnsi="仿宋_GB2312" w:eastAsia="仿宋_GB2312" w:cs="仿宋_GB2312"/>
          <w:sz w:val="32"/>
          <w:szCs w:val="32"/>
        </w:rPr>
        <w:t>烟草专卖局每</w:t>
      </w:r>
      <w:r>
        <w:rPr>
          <w:rFonts w:hint="eastAsia" w:ascii="仿宋_GB2312" w:hAnsi="仿宋_GB2312" w:eastAsia="仿宋_GB2312" w:cs="仿宋_GB2312"/>
          <w:sz w:val="32"/>
          <w:szCs w:val="32"/>
          <w:lang w:val="en-US" w:eastAsia="zh-CN"/>
        </w:rPr>
        <w:t>季度</w:t>
      </w:r>
      <w:r>
        <w:rPr>
          <w:rFonts w:hint="eastAsia" w:ascii="仿宋_GB2312" w:hAnsi="仿宋_GB2312" w:eastAsia="仿宋_GB2312" w:cs="仿宋_GB2312"/>
          <w:sz w:val="32"/>
          <w:szCs w:val="32"/>
        </w:rPr>
        <w:t>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14:paraId="597364A7">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零售点合理布局规划数动态调整情况应提交云南省元江哈尼族彝族傣族自治县</w:t>
      </w:r>
      <w:r>
        <w:rPr>
          <w:rFonts w:hint="eastAsia" w:ascii="仿宋_GB2312" w:eastAsia="仿宋_GB2312"/>
          <w:sz w:val="32"/>
          <w:szCs w:val="32"/>
        </w:rPr>
        <w:t>烟草专卖局</w:t>
      </w:r>
      <w:r>
        <w:rPr>
          <w:rFonts w:hint="eastAsia" w:ascii="仿宋_GB2312" w:eastAsia="仿宋_GB2312"/>
          <w:sz w:val="32"/>
          <w:szCs w:val="32"/>
          <w:lang w:val="en-US" w:eastAsia="zh-CN"/>
        </w:rPr>
        <w:t>局长（经理）办公会、党总支</w:t>
      </w:r>
      <w:r>
        <w:rPr>
          <w:rFonts w:hint="eastAsia" w:ascii="仿宋_GB2312" w:eastAsia="仿宋_GB2312"/>
          <w:sz w:val="32"/>
          <w:szCs w:val="32"/>
        </w:rPr>
        <w:t>讨论决定。讨论通过的，应在</w:t>
      </w:r>
      <w:r>
        <w:rPr>
          <w:rFonts w:hint="eastAsia" w:ascii="仿宋_GB2312" w:hAnsi="仿宋_GB2312" w:eastAsia="仿宋_GB2312" w:cs="仿宋_GB2312"/>
          <w:sz w:val="32"/>
          <w:szCs w:val="32"/>
        </w:rPr>
        <w:t>五日内通过政府网站、行业网站及政务服务大厅等</w:t>
      </w:r>
      <w:r>
        <w:rPr>
          <w:rFonts w:hint="eastAsia" w:ascii="仿宋_GB2312" w:hAnsi="Times New Roman" w:eastAsia="仿宋_GB2312" w:cs="Times New Roman"/>
          <w:sz w:val="32"/>
          <w:szCs w:val="32"/>
        </w:rPr>
        <w:t>平台公示《云南省元江哈尼族彝族傣族自治县烟草制品零售点合理布局公示表》</w:t>
      </w:r>
      <w:r>
        <w:rPr>
          <w:rFonts w:hint="eastAsia" w:ascii="仿宋_GB2312" w:hAnsi="Times New Roman" w:eastAsia="仿宋_GB2312" w:cs="Times New Roman"/>
          <w:sz w:val="32"/>
          <w:szCs w:val="32"/>
          <w:lang w:eastAsia="zh-CN"/>
        </w:rPr>
        <w:t>、《云南省元江哈尼族彝族傣族自治县雪茄烟专营零售点合理布局公示表》</w:t>
      </w:r>
      <w:r>
        <w:rPr>
          <w:rFonts w:hint="eastAsia" w:ascii="仿宋_GB2312" w:hAnsi="Times New Roman" w:eastAsia="仿宋_GB2312" w:cs="Times New Roman"/>
          <w:sz w:val="32"/>
          <w:szCs w:val="32"/>
        </w:rPr>
        <w:t>，同时报上一级烟</w:t>
      </w:r>
      <w:r>
        <w:rPr>
          <w:rFonts w:hint="eastAsia" w:ascii="仿宋_GB2312" w:hAnsi="仿宋_GB2312" w:eastAsia="仿宋_GB2312" w:cs="仿宋_GB2312"/>
          <w:sz w:val="32"/>
          <w:szCs w:val="32"/>
        </w:rPr>
        <w:t>草专卖局备案。</w:t>
      </w:r>
    </w:p>
    <w:p w14:paraId="22432CF0">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38D82110">
      <w:pPr>
        <w:numPr>
          <w:ilvl w:val="2"/>
          <w:numId w:val="3"/>
        </w:numPr>
        <w:adjustRightInd w:val="0"/>
        <w:snapToGrid w:val="0"/>
        <w:spacing w:line="336" w:lineRule="auto"/>
        <w:ind w:firstLine="680"/>
        <w:jc w:val="left"/>
        <w:rPr>
          <w:rFonts w:ascii="楷体" w:hAnsi="楷体" w:eastAsia="楷体" w:cs="楷体"/>
          <w:sz w:val="32"/>
          <w:szCs w:val="32"/>
        </w:rPr>
      </w:pPr>
      <w:r>
        <w:rPr>
          <w:rFonts w:hint="eastAsia" w:ascii="仿宋_GB2312" w:hAnsi="仿宋_GB2312" w:eastAsia="仿宋_GB2312" w:cs="仿宋_GB2312"/>
          <w:sz w:val="32"/>
          <w:szCs w:val="32"/>
        </w:rPr>
        <w:t>云南省元江哈尼族彝族傣族自治县烟草专卖局每年年底向上一级烟草专卖局报告本年度烟草制品零售点合理布局规划数动态调整工作执行情况。</w:t>
      </w:r>
    </w:p>
    <w:p w14:paraId="58429E9D">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365F452D">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本制度由云南省元江哈尼族彝族傣族自治县烟草专卖局负责解释。</w:t>
      </w:r>
    </w:p>
    <w:p w14:paraId="6F95F408">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本制度自《云南省元江哈尼族彝族傣族自治县烟草制品零售点合理布局规划》实施之日起同时施行。</w:t>
      </w:r>
    </w:p>
    <w:p w14:paraId="7F73D3FF">
      <w:pPr>
        <w:spacing w:before="104" w:line="224" w:lineRule="auto"/>
        <w:rPr>
          <w:rFonts w:hint="eastAsia" w:ascii="黑体" w:hAnsi="黑体" w:eastAsia="黑体" w:cs="黑体"/>
          <w:spacing w:val="8"/>
          <w:sz w:val="32"/>
          <w:szCs w:val="32"/>
        </w:rPr>
      </w:pPr>
    </w:p>
    <w:p w14:paraId="43D010C1">
      <w:pPr>
        <w:spacing w:before="104" w:line="224" w:lineRule="auto"/>
        <w:rPr>
          <w:rFonts w:hint="eastAsia" w:ascii="黑体" w:hAnsi="黑体" w:eastAsia="黑体" w:cs="黑体"/>
          <w:spacing w:val="8"/>
          <w:sz w:val="32"/>
          <w:szCs w:val="32"/>
        </w:rPr>
      </w:pPr>
    </w:p>
    <w:p w14:paraId="6053F1B1">
      <w:pPr>
        <w:spacing w:before="104" w:line="224" w:lineRule="auto"/>
        <w:rPr>
          <w:rFonts w:hint="eastAsia" w:ascii="黑体" w:hAnsi="黑体" w:eastAsia="黑体" w:cs="黑体"/>
          <w:spacing w:val="8"/>
          <w:sz w:val="32"/>
          <w:szCs w:val="32"/>
        </w:rPr>
      </w:pPr>
    </w:p>
    <w:p w14:paraId="75D24819">
      <w:pPr>
        <w:spacing w:before="104" w:line="224" w:lineRule="auto"/>
        <w:rPr>
          <w:rFonts w:hint="eastAsia" w:ascii="黑体" w:hAnsi="黑体" w:eastAsia="黑体" w:cs="黑体"/>
          <w:spacing w:val="8"/>
          <w:sz w:val="32"/>
          <w:szCs w:val="32"/>
        </w:rPr>
      </w:pPr>
    </w:p>
    <w:p w14:paraId="2599FC42">
      <w:pPr>
        <w:spacing w:before="104" w:line="224" w:lineRule="auto"/>
        <w:rPr>
          <w:rFonts w:hint="eastAsia" w:ascii="黑体" w:hAnsi="黑体" w:eastAsia="黑体" w:cs="黑体"/>
          <w:spacing w:val="8"/>
          <w:sz w:val="32"/>
          <w:szCs w:val="32"/>
        </w:rPr>
      </w:pPr>
    </w:p>
    <w:p w14:paraId="0DA8AC68">
      <w:pPr>
        <w:rPr>
          <w:rFonts w:hint="eastAsia"/>
        </w:rPr>
      </w:pPr>
      <w:r>
        <w:rPr>
          <w:rFonts w:hint="eastAsia" w:ascii="黑体" w:hAnsi="黑体" w:eastAsia="黑体" w:cs="黑体"/>
          <w:spacing w:val="8"/>
          <w:sz w:val="32"/>
          <w:szCs w:val="32"/>
        </w:rPr>
        <w:br w:type="page"/>
      </w:r>
    </w:p>
    <w:p w14:paraId="0657BD02">
      <w:pPr>
        <w:spacing w:before="104" w:line="224" w:lineRule="auto"/>
        <w:rPr>
          <w:rFonts w:hint="eastAsia" w:ascii="黑体" w:hAnsi="黑体" w:eastAsia="黑体" w:cs="黑体"/>
          <w:spacing w:val="8"/>
          <w:sz w:val="32"/>
          <w:szCs w:val="32"/>
          <w:lang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6</w:t>
      </w:r>
    </w:p>
    <w:p w14:paraId="77946BD8">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w:t>
      </w:r>
    </w:p>
    <w:p w14:paraId="4561E628">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烟草制品零售点排队轮候制度</w:t>
      </w:r>
    </w:p>
    <w:p w14:paraId="363FB757">
      <w:pPr>
        <w:snapToGrid w:val="0"/>
        <w:spacing w:line="317" w:lineRule="auto"/>
        <w:jc w:val="center"/>
        <w:rPr>
          <w:rFonts w:hint="eastAsia" w:ascii="方正小标宋简体" w:eastAsia="方正小标宋简体"/>
          <w:sz w:val="44"/>
          <w:szCs w:val="44"/>
        </w:rPr>
      </w:pPr>
    </w:p>
    <w:p w14:paraId="1E9DBE05">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为坚持公平、公正、公开原则，规范实施《云南省元江哈尼族彝族傣族自治县烟草制品零售点合理布局规划》，根据《中华人民共和国行政许可法》《烟草专卖许可证管理办法》《烟草专卖许可证管理办法实施细则》等法律法规规章和规范性文件的规定，结合</w:t>
      </w:r>
      <w:r>
        <w:rPr>
          <w:rFonts w:hint="eastAsia" w:ascii="仿宋_GB2312" w:hAnsi="仿宋_GB2312" w:eastAsia="仿宋_GB2312" w:cs="仿宋_GB2312"/>
          <w:sz w:val="32"/>
          <w:szCs w:val="32"/>
          <w:lang w:val="en-US" w:eastAsia="zh-CN"/>
        </w:rPr>
        <w:t>元江</w:t>
      </w:r>
      <w:r>
        <w:rPr>
          <w:rFonts w:hint="eastAsia" w:ascii="仿宋_GB2312" w:hAnsi="仿宋_GB2312" w:eastAsia="仿宋_GB2312" w:cs="仿宋_GB2312"/>
          <w:sz w:val="32"/>
          <w:szCs w:val="32"/>
        </w:rPr>
        <w:t>县实际，制定本制度。</w:t>
      </w:r>
    </w:p>
    <w:p w14:paraId="3BBDDC47">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本制度适用于云南省元江哈尼族彝族傣族自治县行政辖区烟草制品零售点新办申请排队轮候管理。</w:t>
      </w:r>
    </w:p>
    <w:p w14:paraId="55DD860F">
      <w:pPr>
        <w:numPr>
          <w:ilvl w:val="2"/>
          <w:numId w:val="4"/>
        </w:numPr>
        <w:adjustRightInd w:val="0"/>
        <w:snapToGrid w:val="0"/>
        <w:spacing w:line="336" w:lineRule="auto"/>
        <w:ind w:firstLine="680"/>
        <w:rPr>
          <w:rFonts w:ascii="黑体" w:hAnsi="黑体" w:eastAsia="黑体" w:cs="黑体"/>
          <w:sz w:val="32"/>
          <w:szCs w:val="32"/>
        </w:rPr>
      </w:pPr>
      <w:r>
        <w:rPr>
          <w:rFonts w:hint="eastAsia" w:ascii="仿宋_GB2312" w:hAnsi="仿宋_GB2312" w:eastAsia="仿宋_GB2312" w:cs="仿宋_GB2312"/>
          <w:kern w:val="28"/>
          <w:sz w:val="32"/>
          <w:szCs w:val="32"/>
          <w:lang w:val="en-US" w:eastAsia="zh-CN"/>
        </w:rPr>
        <w:t>元江县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时不再设新的零售点。新办申请人应按本制度首先提出排队轮候申请，直至该最小单元网格内的零售点实际数量小于</w:t>
      </w:r>
      <w:r>
        <w:rPr>
          <w:rFonts w:hint="eastAsia" w:ascii="仿宋_GB2312" w:hAnsi="仿宋_GB2312" w:eastAsia="仿宋_GB2312" w:cs="仿宋_GB2312"/>
          <w:sz w:val="32"/>
          <w:szCs w:val="32"/>
        </w:rPr>
        <w:t>合理容量时，再按照排队轮候的顺序依次提交新办申请。</w:t>
      </w:r>
    </w:p>
    <w:p w14:paraId="48C78063">
      <w:pPr>
        <w:numPr>
          <w:ilvl w:val="2"/>
          <w:numId w:val="4"/>
        </w:numPr>
        <w:adjustRightInd w:val="0"/>
        <w:snapToGrid w:val="0"/>
        <w:spacing w:line="336" w:lineRule="auto"/>
        <w:ind w:firstLine="640" w:firstLineChars="200"/>
        <w:rPr>
          <w:rFonts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0DD27DFF">
      <w:pPr>
        <w:numPr>
          <w:ilvl w:val="2"/>
          <w:numId w:val="4"/>
        </w:numPr>
        <w:adjustRightInd w:val="0"/>
        <w:snapToGrid w:val="0"/>
        <w:spacing w:line="336" w:lineRule="auto"/>
        <w:ind w:firstLine="640" w:firstLineChars="200"/>
        <w:rPr>
          <w:rFonts w:ascii="楷体" w:hAnsi="楷体" w:eastAsia="楷体" w:cs="楷体"/>
          <w:sz w:val="32"/>
          <w:szCs w:val="32"/>
        </w:rPr>
      </w:pPr>
      <w:r>
        <w:rPr>
          <w:rFonts w:hint="eastAsia" w:ascii="仿宋_GB2312" w:hAnsi="仿宋_GB2312" w:eastAsia="仿宋_GB2312" w:cs="仿宋_GB2312"/>
          <w:sz w:val="32"/>
          <w:szCs w:val="32"/>
        </w:rPr>
        <w:t>零售点排队轮候采取最小单元网格管理。自愿加入排队轮候的申请人，应线上填写并提交《云南省元江哈尼族彝族傣族自治县烟草制品零售点排队轮候申请表》（详见附表）。申请人在填报信息时应准确、真实。</w:t>
      </w:r>
    </w:p>
    <w:p w14:paraId="5457DA96">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r>
        <w:rPr>
          <w:rFonts w:hint="eastAsia" w:ascii="楷体" w:hAnsi="楷体" w:eastAsia="楷体" w:cs="楷体"/>
          <w:sz w:val="32"/>
          <w:szCs w:val="32"/>
        </w:rPr>
        <w:t>（备注：线上排队轮候系统由省局统一开发，系统填写内容包括但不限于第五条中的登记信息、精确到秒的提交时间、顺序号、辖区内所属网格、约定事项等。）</w:t>
      </w:r>
    </w:p>
    <w:p w14:paraId="4AC66325">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发证机关应公开排队轮候情况，并接受公众监督。申请人可通过线上、线下等方式查询排队轮候情况。</w:t>
      </w:r>
    </w:p>
    <w:p w14:paraId="50CA3F9F">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14:paraId="280D4CE9">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1EC61914">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云南省元江哈尼族彝族傣族自治县烟草专卖局每年年底向上一级烟草专卖局报告本年度烟草制品零售点排队轮候管理工作情况。</w:t>
      </w:r>
    </w:p>
    <w:p w14:paraId="750784CE">
      <w:pPr>
        <w:numPr>
          <w:ilvl w:val="2"/>
          <w:numId w:val="4"/>
        </w:numPr>
        <w:adjustRightInd w:val="0"/>
        <w:snapToGrid w:val="0"/>
        <w:spacing w:line="336" w:lineRule="auto"/>
        <w:ind w:firstLine="640" w:firstLineChars="200"/>
        <w:rPr>
          <w:rFonts w:ascii="黑体" w:hAnsi="黑体" w:eastAsia="黑体" w:cs="黑体"/>
          <w:sz w:val="32"/>
          <w:szCs w:val="32"/>
        </w:rPr>
      </w:pPr>
      <w:r>
        <w:rPr>
          <w:rFonts w:hint="eastAsia" w:ascii="仿宋_GB2312" w:hAnsi="仿宋_GB2312" w:eastAsia="仿宋_GB2312" w:cs="仿宋_GB2312"/>
          <w:sz w:val="32"/>
          <w:szCs w:val="32"/>
        </w:rPr>
        <w:t>发证机关接收和办理排队轮候业务，不得收取任何费用。</w:t>
      </w:r>
    </w:p>
    <w:p w14:paraId="5A579940">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57DC4982">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本制度由云南省元江哈尼族彝族傣族自治县烟草专卖局负责解释。</w:t>
      </w:r>
    </w:p>
    <w:p w14:paraId="754BE1E8">
      <w:pPr>
        <w:numPr>
          <w:ilvl w:val="2"/>
          <w:numId w:val="4"/>
        </w:numPr>
        <w:adjustRightInd w:val="0"/>
        <w:snapToGrid w:val="0"/>
        <w:spacing w:line="336" w:lineRule="auto"/>
        <w:ind w:firstLine="680"/>
        <w:rPr>
          <w:rFonts w:ascii="楷体" w:hAnsi="楷体" w:eastAsia="楷体" w:cs="楷体"/>
          <w:sz w:val="32"/>
          <w:szCs w:val="32"/>
        </w:rPr>
      </w:pPr>
      <w:r>
        <w:rPr>
          <w:rFonts w:hint="eastAsia" w:ascii="仿宋_GB2312" w:hAnsi="仿宋_GB2312" w:eastAsia="仿宋_GB2312" w:cs="仿宋_GB2312"/>
          <w:sz w:val="32"/>
          <w:szCs w:val="32"/>
        </w:rPr>
        <w:t>本制度自《云南省元江哈尼族彝族傣族自治县烟草制品零售点合理布局规划》实施之日起同时施行。</w:t>
      </w:r>
    </w:p>
    <w:p w14:paraId="6E537A87">
      <w:pPr>
        <w:adjustRightInd w:val="0"/>
        <w:snapToGrid w:val="0"/>
        <w:spacing w:line="336" w:lineRule="auto"/>
        <w:ind w:left="402" w:firstLine="640" w:firstLineChars="200"/>
        <w:rPr>
          <w:rFonts w:ascii="仿宋_GB2312" w:hAnsi="仿宋_GB2312" w:eastAsia="仿宋_GB2312" w:cs="仿宋_GB2312"/>
          <w:sz w:val="32"/>
          <w:szCs w:val="32"/>
        </w:rPr>
      </w:pPr>
    </w:p>
    <w:p w14:paraId="63FD9B55">
      <w:pPr>
        <w:adjustRightInd w:val="0"/>
        <w:snapToGrid w:val="0"/>
        <w:spacing w:line="336" w:lineRule="auto"/>
        <w:ind w:left="402"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附表：云南省元江哈尼族彝族傣族自治县烟草制品零售点排队轮候申请表</w:t>
      </w:r>
    </w:p>
    <w:p w14:paraId="1A2AAF98">
      <w:pPr>
        <w:widowControl/>
        <w:jc w:val="left"/>
        <w:rPr>
          <w:rFonts w:ascii="黑体" w:hAnsi="黑体" w:eastAsia="黑体" w:cs="黑体"/>
          <w:sz w:val="32"/>
          <w:szCs w:val="32"/>
        </w:rPr>
      </w:pPr>
      <w:r>
        <w:rPr>
          <w:rFonts w:ascii="黑体" w:hAnsi="黑体" w:eastAsia="黑体" w:cs="黑体"/>
          <w:sz w:val="32"/>
          <w:szCs w:val="32"/>
        </w:rPr>
        <w:br w:type="page"/>
      </w:r>
    </w:p>
    <w:p w14:paraId="7A5645DD">
      <w:pPr>
        <w:spacing w:line="360" w:lineRule="auto"/>
        <w:rPr>
          <w:rFonts w:ascii="黑体" w:hAnsi="黑体" w:eastAsia="黑体" w:cs="黑体"/>
          <w:sz w:val="44"/>
          <w:szCs w:val="44"/>
        </w:rPr>
      </w:pPr>
      <w:r>
        <w:rPr>
          <w:rFonts w:hint="eastAsia" w:ascii="黑体" w:hAnsi="黑体" w:eastAsia="黑体" w:cs="黑体"/>
          <w:sz w:val="32"/>
          <w:szCs w:val="32"/>
        </w:rPr>
        <w:t>附表</w:t>
      </w:r>
    </w:p>
    <w:p w14:paraId="27D30B32">
      <w:pPr>
        <w:spacing w:line="360" w:lineRule="auto"/>
        <w:ind w:left="402"/>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云南省元江哈尼族彝族傣族自治县烟草制品零售点排队轮候申请表</w:t>
      </w:r>
    </w:p>
    <w:tbl>
      <w:tblPr>
        <w:tblStyle w:val="14"/>
        <w:tblW w:w="0" w:type="auto"/>
        <w:tblInd w:w="96" w:type="dxa"/>
        <w:tblLayout w:type="fixed"/>
        <w:tblCellMar>
          <w:top w:w="0" w:type="dxa"/>
          <w:left w:w="108" w:type="dxa"/>
          <w:bottom w:w="0" w:type="dxa"/>
          <w:right w:w="108" w:type="dxa"/>
        </w:tblCellMar>
      </w:tblPr>
      <w:tblGrid>
        <w:gridCol w:w="2422"/>
        <w:gridCol w:w="2283"/>
        <w:gridCol w:w="1543"/>
        <w:gridCol w:w="2178"/>
      </w:tblGrid>
      <w:tr w14:paraId="1DFFF867">
        <w:tblPrEx>
          <w:tblCellMar>
            <w:top w:w="0" w:type="dxa"/>
            <w:left w:w="108" w:type="dxa"/>
            <w:bottom w:w="0" w:type="dxa"/>
            <w:right w:w="108" w:type="dxa"/>
          </w:tblCellMar>
        </w:tblPrEx>
        <w:trPr>
          <w:trHeight w:val="464"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65AE8">
            <w:pPr>
              <w:widowControl/>
              <w:jc w:val="center"/>
              <w:textAlignment w:val="center"/>
              <w:rPr>
                <w:rFonts w:ascii="宋体" w:hAnsi="宋体" w:cs="宋体"/>
                <w:b/>
                <w:bCs/>
                <w:sz w:val="24"/>
              </w:rPr>
            </w:pPr>
            <w:r>
              <w:rPr>
                <w:rFonts w:hint="eastAsia" w:ascii="宋体" w:hAnsi="宋体" w:cs="宋体"/>
                <w:b/>
                <w:bCs/>
                <w:kern w:val="0"/>
                <w:sz w:val="24"/>
                <w:lang w:bidi="ar"/>
              </w:rPr>
              <w:t>申请人基本信息</w:t>
            </w:r>
          </w:p>
        </w:tc>
      </w:tr>
      <w:tr w14:paraId="1EFA88AA">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38704">
            <w:pPr>
              <w:widowControl/>
              <w:jc w:val="center"/>
              <w:textAlignment w:val="center"/>
              <w:rPr>
                <w:rFonts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69DEA">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A6383">
            <w:pPr>
              <w:widowControl/>
              <w:jc w:val="center"/>
              <w:textAlignment w:val="center"/>
              <w:rPr>
                <w:rFonts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AD7B0">
            <w:pPr>
              <w:jc w:val="center"/>
              <w:rPr>
                <w:rFonts w:ascii="宋体" w:hAnsi="宋体" w:cs="宋体"/>
                <w:sz w:val="24"/>
              </w:rPr>
            </w:pPr>
          </w:p>
        </w:tc>
      </w:tr>
      <w:tr w14:paraId="21F36751">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D20F2">
            <w:pPr>
              <w:widowControl/>
              <w:jc w:val="center"/>
              <w:textAlignment w:val="center"/>
              <w:rPr>
                <w:rFonts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02698">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5760D">
            <w:pPr>
              <w:widowControl/>
              <w:jc w:val="center"/>
              <w:textAlignment w:val="center"/>
              <w:rPr>
                <w:rFonts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AFB65">
            <w:pPr>
              <w:jc w:val="center"/>
              <w:rPr>
                <w:rFonts w:ascii="宋体" w:hAnsi="宋体" w:cs="宋体"/>
                <w:sz w:val="24"/>
              </w:rPr>
            </w:pPr>
          </w:p>
        </w:tc>
      </w:tr>
      <w:tr w14:paraId="7676BFCE">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F1C8A">
            <w:pPr>
              <w:widowControl/>
              <w:jc w:val="center"/>
              <w:textAlignment w:val="center"/>
              <w:rPr>
                <w:rFonts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92EB5">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6B01C">
            <w:pPr>
              <w:widowControl/>
              <w:jc w:val="center"/>
              <w:textAlignment w:val="center"/>
              <w:rPr>
                <w:rFonts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071BD">
            <w:pPr>
              <w:jc w:val="center"/>
              <w:rPr>
                <w:rFonts w:ascii="宋体" w:hAnsi="宋体" w:cs="宋体"/>
                <w:sz w:val="24"/>
              </w:rPr>
            </w:pPr>
          </w:p>
        </w:tc>
      </w:tr>
      <w:tr w14:paraId="420CB735">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1A443">
            <w:pPr>
              <w:widowControl/>
              <w:jc w:val="center"/>
              <w:textAlignment w:val="center"/>
              <w:rPr>
                <w:rFonts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5FDFC">
            <w:pPr>
              <w:jc w:val="center"/>
              <w:rPr>
                <w:rFonts w:ascii="宋体" w:hAnsi="宋体" w:cs="宋体"/>
                <w:sz w:val="24"/>
              </w:rPr>
            </w:pPr>
          </w:p>
        </w:tc>
      </w:tr>
      <w:tr w14:paraId="4DC11ECA">
        <w:tblPrEx>
          <w:tblCellMar>
            <w:top w:w="0" w:type="dxa"/>
            <w:left w:w="108" w:type="dxa"/>
            <w:bottom w:w="0" w:type="dxa"/>
            <w:right w:w="108" w:type="dxa"/>
          </w:tblCellMar>
        </w:tblPrEx>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289BE">
            <w:pPr>
              <w:widowControl/>
              <w:jc w:val="center"/>
              <w:textAlignment w:val="center"/>
              <w:rPr>
                <w:rFonts w:ascii="宋体" w:hAnsi="宋体" w:cs="宋体"/>
                <w:b/>
                <w:bCs/>
                <w:sz w:val="24"/>
              </w:rPr>
            </w:pPr>
            <w:r>
              <w:rPr>
                <w:rFonts w:hint="eastAsia" w:ascii="宋体" w:hAnsi="宋体" w:cs="宋体"/>
                <w:b/>
                <w:bCs/>
                <w:kern w:val="0"/>
                <w:sz w:val="24"/>
                <w:lang w:bidi="ar"/>
              </w:rPr>
              <w:t>营业执照基本信息</w:t>
            </w:r>
          </w:p>
        </w:tc>
      </w:tr>
      <w:tr w14:paraId="40626A6D">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29358">
            <w:pPr>
              <w:widowControl/>
              <w:jc w:val="center"/>
              <w:textAlignment w:val="center"/>
              <w:rPr>
                <w:rFonts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48F77">
            <w:pPr>
              <w:jc w:val="center"/>
              <w:rPr>
                <w:rFonts w:ascii="宋体" w:hAnsi="宋体" w:cs="宋体"/>
                <w:sz w:val="24"/>
              </w:rPr>
            </w:pPr>
          </w:p>
        </w:tc>
      </w:tr>
      <w:tr w14:paraId="298D3CB6">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5AF88">
            <w:pPr>
              <w:widowControl/>
              <w:jc w:val="center"/>
              <w:textAlignment w:val="center"/>
              <w:rPr>
                <w:rFonts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31FAC">
            <w:pPr>
              <w:jc w:val="center"/>
              <w:rPr>
                <w:rFonts w:ascii="宋体" w:hAnsi="宋体" w:cs="宋体"/>
                <w:sz w:val="24"/>
              </w:rPr>
            </w:pPr>
          </w:p>
        </w:tc>
      </w:tr>
      <w:tr w14:paraId="55DB7999">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62750">
            <w:pPr>
              <w:widowControl/>
              <w:jc w:val="center"/>
              <w:textAlignment w:val="center"/>
              <w:rPr>
                <w:rFonts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F19E9">
            <w:pPr>
              <w:jc w:val="center"/>
              <w:rPr>
                <w:rFonts w:ascii="宋体" w:hAnsi="宋体" w:cs="宋体"/>
                <w:sz w:val="24"/>
              </w:rPr>
            </w:pPr>
          </w:p>
        </w:tc>
      </w:tr>
      <w:tr w14:paraId="210E803A">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B71E2">
            <w:pPr>
              <w:widowControl/>
              <w:jc w:val="center"/>
              <w:textAlignment w:val="center"/>
              <w:rPr>
                <w:rFonts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967BB">
            <w:pPr>
              <w:jc w:val="center"/>
              <w:rPr>
                <w:rFonts w:ascii="宋体" w:hAnsi="宋体" w:cs="宋体"/>
                <w:sz w:val="24"/>
              </w:rPr>
            </w:pPr>
          </w:p>
        </w:tc>
      </w:tr>
      <w:tr w14:paraId="75A47703">
        <w:tblPrEx>
          <w:tblCellMar>
            <w:top w:w="0" w:type="dxa"/>
            <w:left w:w="108" w:type="dxa"/>
            <w:bottom w:w="0" w:type="dxa"/>
            <w:right w:w="108" w:type="dxa"/>
          </w:tblCellMar>
        </w:tblPrEx>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E0319A0">
            <w:pPr>
              <w:widowControl/>
              <w:jc w:val="left"/>
              <w:textAlignment w:val="center"/>
              <w:rPr>
                <w:rStyle w:val="26"/>
                <w:rFonts w:hint="default"/>
                <w:color w:val="auto"/>
                <w:lang w:bidi="ar"/>
              </w:rPr>
            </w:pPr>
            <w:r>
              <w:rPr>
                <w:rStyle w:val="26"/>
                <w:rFonts w:hint="default"/>
                <w:color w:val="auto"/>
                <w:lang w:bidi="ar"/>
              </w:rPr>
              <w:t>申请人承诺：</w:t>
            </w:r>
          </w:p>
          <w:p w14:paraId="724CDFFA">
            <w:pPr>
              <w:widowControl/>
              <w:ind w:firstLine="480" w:firstLineChars="200"/>
              <w:jc w:val="left"/>
              <w:textAlignment w:val="center"/>
              <w:rPr>
                <w:rStyle w:val="26"/>
                <w:rFonts w:hint="default"/>
                <w:b w:val="0"/>
                <w:bCs w:val="0"/>
                <w:color w:val="auto"/>
                <w:lang w:bidi="ar"/>
              </w:rPr>
            </w:pPr>
            <w:r>
              <w:rPr>
                <w:rStyle w:val="26"/>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1E216840">
            <w:pPr>
              <w:widowControl/>
              <w:ind w:firstLine="480" w:firstLineChars="200"/>
              <w:jc w:val="left"/>
              <w:textAlignment w:val="center"/>
              <w:rPr>
                <w:rStyle w:val="26"/>
                <w:rFonts w:hint="default"/>
                <w:b w:val="0"/>
                <w:bCs w:val="0"/>
                <w:color w:val="auto"/>
                <w:lang w:bidi="ar"/>
              </w:rPr>
            </w:pPr>
            <w:r>
              <w:rPr>
                <w:rStyle w:val="26"/>
                <w:rFonts w:hint="default"/>
                <w:b w:val="0"/>
                <w:bCs w:val="0"/>
                <w:color w:val="auto"/>
                <w:lang w:bidi="ar"/>
              </w:rPr>
              <w:t>2.申请人所提交的预登记信息确保与到号办理时提交的办证信息一致，若不一致的，申请人应重新登记轮候；</w:t>
            </w:r>
          </w:p>
          <w:p w14:paraId="5D313E5F">
            <w:pPr>
              <w:widowControl/>
              <w:ind w:firstLine="480" w:firstLineChars="200"/>
              <w:jc w:val="left"/>
              <w:textAlignment w:val="center"/>
              <w:rPr>
                <w:rStyle w:val="26"/>
                <w:rFonts w:hint="default"/>
                <w:b w:val="0"/>
                <w:bCs w:val="0"/>
                <w:color w:val="auto"/>
                <w:lang w:bidi="ar"/>
              </w:rPr>
            </w:pPr>
            <w:r>
              <w:rPr>
                <w:rStyle w:val="26"/>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3F5BFDE9">
            <w:pPr>
              <w:widowControl/>
              <w:ind w:firstLine="482" w:firstLineChars="200"/>
              <w:jc w:val="left"/>
              <w:textAlignment w:val="center"/>
              <w:rPr>
                <w:rFonts w:ascii="宋体" w:hAnsi="宋体" w:cs="宋体"/>
                <w:b/>
                <w:bCs/>
                <w:sz w:val="24"/>
              </w:rPr>
            </w:pPr>
            <w:r>
              <w:rPr>
                <w:rStyle w:val="26"/>
                <w:rFonts w:hint="default"/>
                <w:color w:val="auto"/>
                <w:lang w:bidi="ar"/>
              </w:rPr>
              <w:t>申请人或代理人（签名或印章）：</w:t>
            </w:r>
            <w:r>
              <w:rPr>
                <w:rStyle w:val="27"/>
                <w:rFonts w:hint="default"/>
                <w:color w:val="auto"/>
                <w:lang w:bidi="ar"/>
              </w:rPr>
              <w:t xml:space="preserve">        </w:t>
            </w:r>
            <w:r>
              <w:rPr>
                <w:rStyle w:val="26"/>
                <w:rFonts w:hint="default"/>
                <w:color w:val="auto"/>
                <w:lang w:bidi="ar"/>
              </w:rPr>
              <w:t xml:space="preserve">                                                                         </w:t>
            </w:r>
          </w:p>
        </w:tc>
      </w:tr>
      <w:tr w14:paraId="1EC4CA4D">
        <w:tblPrEx>
          <w:tblCellMar>
            <w:top w:w="0" w:type="dxa"/>
            <w:left w:w="108" w:type="dxa"/>
            <w:bottom w:w="0" w:type="dxa"/>
            <w:right w:w="108" w:type="dxa"/>
          </w:tblCellMar>
        </w:tblPrEx>
        <w:trPr>
          <w:trHeight w:val="1166"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FB922">
            <w:pPr>
              <w:widowControl/>
              <w:jc w:val="center"/>
              <w:textAlignment w:val="center"/>
              <w:rPr>
                <w:rFonts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B3DC26">
            <w:pPr>
              <w:jc w:val="center"/>
              <w:rPr>
                <w:rFonts w:ascii="宋体" w:hAnsi="宋体" w:cs="宋体"/>
                <w:b/>
                <w:bCs/>
                <w:sz w:val="24"/>
              </w:rPr>
            </w:pPr>
          </w:p>
        </w:tc>
      </w:tr>
    </w:tbl>
    <w:p w14:paraId="0707DC12">
      <w:pPr>
        <w:spacing w:line="360" w:lineRule="auto"/>
        <w:ind w:left="402"/>
        <w:rPr>
          <w:rFonts w:ascii="方正小标宋简体" w:hAnsi="方正小标宋简体" w:eastAsia="方正小标宋简体" w:cs="方正小标宋简体"/>
          <w:sz w:val="44"/>
          <w:szCs w:val="44"/>
        </w:rPr>
      </w:pPr>
    </w:p>
    <w:p w14:paraId="7157DDA8">
      <w:pPr>
        <w:pStyle w:val="13"/>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9341BD5-4E86-4659-B418-936B7A8AD665}"/>
  </w:font>
  <w:font w:name="黑体">
    <w:panose1 w:val="02010609060101010101"/>
    <w:charset w:val="86"/>
    <w:family w:val="auto"/>
    <w:pitch w:val="default"/>
    <w:sig w:usb0="800002BF" w:usb1="38CF7CFA" w:usb2="00000016" w:usb3="00000000" w:csb0="00040001" w:csb1="00000000"/>
    <w:embedRegular r:id="rId2" w:fontKey="{AAE2C3B8-EFB0-4E22-BDF1-2523B34BB0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3" w:fontKey="{1BB7D0CF-08C1-4311-9F9A-D2362D327954}"/>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4" w:fontKey="{1ABD4725-3376-408F-95CD-DF008BA5FD59}"/>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embedRegular r:id="rId5" w:fontKey="{E021EE1F-2D32-4EBC-ACC2-9E8A852743F9}"/>
  </w:font>
  <w:font w:name="仿宋_GB2312">
    <w:panose1 w:val="02010609030101010101"/>
    <w:charset w:val="86"/>
    <w:family w:val="modern"/>
    <w:pitch w:val="default"/>
    <w:sig w:usb0="00000001" w:usb1="080E0000" w:usb2="00000000" w:usb3="00000000" w:csb0="00040000" w:csb1="00000000"/>
    <w:embedRegular r:id="rId6" w:fontKey="{1B80BAE6-5EE9-497D-A3E8-ABB658A30953}"/>
  </w:font>
  <w:font w:name="楷体">
    <w:panose1 w:val="02010609060101010101"/>
    <w:charset w:val="86"/>
    <w:family w:val="modern"/>
    <w:pitch w:val="default"/>
    <w:sig w:usb0="800002BF" w:usb1="38CF7CFA" w:usb2="00000016" w:usb3="00000000" w:csb0="00040001" w:csb1="00000000"/>
    <w:embedRegular r:id="rId7" w:fontKey="{6012AFA1-B959-41B2-881E-809870A960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0F58D">
    <w:pPr>
      <w:pStyle w:val="7"/>
    </w:pPr>
    <w:r>
      <mc:AlternateContent>
        <mc:Choice Requires="wps">
          <w:drawing>
            <wp:anchor distT="0" distB="0" distL="114300" distR="114300" simplePos="0" relativeHeight="251659264" behindDoc="0" locked="0" layoutInCell="1" allowOverlap="1">
              <wp:simplePos x="0" y="0"/>
              <wp:positionH relativeFrom="margin">
                <wp:posOffset>4654550</wp:posOffset>
              </wp:positionH>
              <wp:positionV relativeFrom="paragraph">
                <wp:posOffset>-68580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C3293">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6.5pt;margin-top:-5.4pt;height:144pt;width:144pt;mso-position-horizontal-relative:margin;mso-wrap-style:none;z-index:251659264;mso-width-relative:page;mso-height-relative:page;" filled="f" stroked="f" coordsize="21600,21600" o:gfxdata="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eTtP2wtUDcKmRI5LoHhut&#10;0Oybntne5GcQc6brDG/5pkLyLfPhgTm0Ah6MYQn3WAppkMT0FiWlcV//dR7jUSF4KanRWhnVmCRK&#10;5AeNygEwDIYbjP1g6KO6M+jVMYbQ8tbEBRfkYBbOqC+YoFXMARfTHJkyGgbzLnTtjQnkYrVqg9Br&#10;loWt3lkeoaN43q6OAQK2ukZROiV6rdBtbWX6yYjt/Oe+jXr6G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2EdvjYAAAADAEAAA8AAAAAAAAAAQAgAAAAIgAAAGRycy9kb3ducmV2LnhtbFBLAQIU&#10;ABQAAAAIAIdO4kCvY9gwLAIAAFUEAAAOAAAAAAAAAAEAIAAAACcBAABkcnMvZTJvRG9jLnhtbFBL&#10;BQYAAAAABgAGAFkBAADFBQAAAAA=&#10;">
              <v:fill on="f" focussize="0,0"/>
              <v:stroke on="f" weight="0.5pt"/>
              <v:imagedata o:title=""/>
              <o:lock v:ext="edit" aspectratio="f"/>
              <v:textbox inset="0mm,0mm,0mm,0mm" style="mso-fit-shape-to-text:t;">
                <w:txbxContent>
                  <w:p w14:paraId="208C3293">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F65B3">
    <w:pPr>
      <w:pStyle w:val="7"/>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-83820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6C21A">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6pt;height:144pt;width:144pt;mso-position-horizontal-relative:margin;mso-wrap-style:none;z-index:251660288;mso-width-relative:page;mso-height-relative:page;" filled="f" stroked="f" coordsize="21600,21600" o:gfxdata="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wnN1c9YAAAAJAQAADwAAAAAAAAABACAAAAAiAAAAZHJzL2Rvd25yZXYueG1sUEsBAhQAFAAA&#10;AAgAh07iQCbVWnMqAgAAVQQAAA4AAAAAAAAAAQAgAAAAJQEAAGRycy9lMm9Eb2MueG1sUEsFBgAA&#10;AAAGAAYAWQEAAMEFAAAAAA==&#10;">
              <v:fill on="f" focussize="0,0"/>
              <v:stroke on="f" weight="0.5pt"/>
              <v:imagedata o:title=""/>
              <o:lock v:ext="edit" aspectratio="f"/>
              <v:textbox inset="0mm,0mm,0mm,0mm" style="mso-fit-shape-to-text:t;">
                <w:txbxContent>
                  <w:p w14:paraId="5696C21A">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1753F6"/>
    <w:multiLevelType w:val="multilevel"/>
    <w:tmpl w:val="ED1753F6"/>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2">
    <w:nsid w:val="00000000"/>
    <w:multiLevelType w:val="multilevel"/>
    <w:tmpl w:val="00000000"/>
    <w:lvl w:ilvl="0" w:tentative="0">
      <w:start w:val="1"/>
      <w:numFmt w:val="chineseCounting"/>
      <w:suff w:val="nothing"/>
      <w:lvlText w:val="第%1章 "/>
      <w:lvlJc w:val="left"/>
      <w:pPr>
        <w:ind w:left="0" w:firstLine="402"/>
      </w:pPr>
      <w:rPr>
        <w:rFonts w:hint="eastAsia" w:ascii="黑体" w:hAnsi="黑体" w:eastAsia="黑体" w:cs="黑体"/>
        <w:sz w:val="36"/>
        <w:szCs w:val="36"/>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00000001"/>
    <w:multiLevelType w:val="multilevel"/>
    <w:tmpl w:val="00000001"/>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50" w:firstLine="397"/>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83261"/>
    <w:rsid w:val="063569BC"/>
    <w:rsid w:val="0CBF0518"/>
    <w:rsid w:val="0F6344B0"/>
    <w:rsid w:val="10093E5F"/>
    <w:rsid w:val="171831E2"/>
    <w:rsid w:val="19BF10EA"/>
    <w:rsid w:val="1EC645BD"/>
    <w:rsid w:val="1FE37579"/>
    <w:rsid w:val="23BC1915"/>
    <w:rsid w:val="25834848"/>
    <w:rsid w:val="25A847D7"/>
    <w:rsid w:val="26BB2B24"/>
    <w:rsid w:val="28FA5353"/>
    <w:rsid w:val="30A975DC"/>
    <w:rsid w:val="30B14195"/>
    <w:rsid w:val="36E92ECF"/>
    <w:rsid w:val="395B159A"/>
    <w:rsid w:val="39E9150D"/>
    <w:rsid w:val="45764BD3"/>
    <w:rsid w:val="47550309"/>
    <w:rsid w:val="4859130E"/>
    <w:rsid w:val="490C5D90"/>
    <w:rsid w:val="49440C52"/>
    <w:rsid w:val="4BAD780B"/>
    <w:rsid w:val="51E72D4E"/>
    <w:rsid w:val="52650107"/>
    <w:rsid w:val="537069E5"/>
    <w:rsid w:val="582513F3"/>
    <w:rsid w:val="5C7A6246"/>
    <w:rsid w:val="5CEE0B0D"/>
    <w:rsid w:val="5DE870C6"/>
    <w:rsid w:val="60196D73"/>
    <w:rsid w:val="66D83D00"/>
    <w:rsid w:val="71897FF9"/>
    <w:rsid w:val="74E90E2A"/>
    <w:rsid w:val="753B6B69"/>
    <w:rsid w:val="762D7430"/>
    <w:rsid w:val="7F9957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15">
    <w:name w:val="Default Paragraph Font"/>
    <w:qFormat/>
    <w:uiPriority w:val="1"/>
  </w:style>
  <w:style w:type="table" w:default="1" w:styleId="14">
    <w:name w:val="Normal Table"/>
    <w:qFormat/>
    <w:uiPriority w:val="99"/>
    <w:tblPr>
      <w:tblCellMar>
        <w:top w:w="0" w:type="dxa"/>
        <w:left w:w="108" w:type="dxa"/>
        <w:bottom w:w="0" w:type="dxa"/>
        <w:right w:w="108" w:type="dxa"/>
      </w:tblCellMar>
    </w:tblPr>
  </w:style>
  <w:style w:type="paragraph" w:styleId="3">
    <w:name w:val="annotation text"/>
    <w:basedOn w:val="1"/>
    <w:qFormat/>
    <w:uiPriority w:val="99"/>
    <w:pPr>
      <w:jc w:val="left"/>
    </w:pPr>
  </w:style>
  <w:style w:type="paragraph" w:styleId="4">
    <w:name w:val="Body Text"/>
    <w:basedOn w:val="1"/>
    <w:link w:val="19"/>
    <w:qFormat/>
    <w:uiPriority w:val="0"/>
    <w:pPr>
      <w:spacing w:after="120"/>
    </w:pPr>
  </w:style>
  <w:style w:type="paragraph" w:styleId="5">
    <w:name w:val="Body Text Indent"/>
    <w:basedOn w:val="1"/>
    <w:qFormat/>
    <w:uiPriority w:val="0"/>
    <w:pPr>
      <w:adjustRightInd w:val="0"/>
      <w:spacing w:line="360" w:lineRule="exact"/>
      <w:ind w:firstLine="420"/>
      <w:textAlignment w:val="baseline"/>
    </w:pPr>
    <w:rPr>
      <w:rFonts w:ascii="楷体_GB2312" w:eastAsia="楷体_GB2312"/>
      <w:sz w:val="24"/>
    </w:rPr>
  </w:style>
  <w:style w:type="paragraph" w:styleId="6">
    <w:name w:val="Balloon Text"/>
    <w:basedOn w:val="1"/>
    <w:link w:val="22"/>
    <w:qFormat/>
    <w:uiPriority w:val="99"/>
    <w:rPr>
      <w:sz w:val="18"/>
      <w:szCs w:val="18"/>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1"/>
    <w:qFormat/>
    <w:uiPriority w:val="11"/>
    <w:pPr>
      <w:spacing w:before="240" w:after="240" w:line="312" w:lineRule="auto"/>
      <w:jc w:val="center"/>
      <w:outlineLvl w:val="1"/>
    </w:pPr>
    <w:rPr>
      <w:rFonts w:ascii="等线" w:hAnsi="等线" w:eastAsia="等线"/>
      <w:kern w:val="28"/>
      <w:sz w:val="40"/>
      <w:szCs w:val="40"/>
    </w:rPr>
  </w:style>
  <w:style w:type="paragraph" w:styleId="10">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1">
    <w:name w:val="Normal (Web)"/>
    <w:basedOn w:val="1"/>
    <w:qFormat/>
    <w:uiPriority w:val="0"/>
    <w:pPr>
      <w:spacing w:beforeAutospacing="1" w:afterAutospacing="1"/>
      <w:jc w:val="left"/>
    </w:pPr>
    <w:rPr>
      <w:kern w:val="0"/>
      <w:sz w:val="24"/>
    </w:rPr>
  </w:style>
  <w:style w:type="paragraph" w:styleId="12">
    <w:name w:val="Title"/>
    <w:basedOn w:val="1"/>
    <w:next w:val="1"/>
    <w:link w:val="20"/>
    <w:qFormat/>
    <w:uiPriority w:val="10"/>
    <w:pPr>
      <w:spacing w:before="120" w:after="120"/>
      <w:jc w:val="center"/>
      <w:outlineLvl w:val="0"/>
    </w:pPr>
    <w:rPr>
      <w:rFonts w:ascii="方正小标宋简体" w:hAnsi="等线 Light" w:eastAsia="方正小标宋简体"/>
      <w:sz w:val="44"/>
      <w:szCs w:val="44"/>
    </w:rPr>
  </w:style>
  <w:style w:type="paragraph" w:styleId="13">
    <w:name w:val="Body Text First Indent 2"/>
    <w:basedOn w:val="5"/>
    <w:qFormat/>
    <w:uiPriority w:val="0"/>
    <w:pPr>
      <w:ind w:firstLine="200" w:firstLineChars="200"/>
    </w:pPr>
  </w:style>
  <w:style w:type="paragraph" w:customStyle="1" w:styleId="16">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character" w:customStyle="1" w:styleId="17">
    <w:name w:val="页眉 字符"/>
    <w:basedOn w:val="15"/>
    <w:link w:val="8"/>
    <w:qFormat/>
    <w:uiPriority w:val="0"/>
    <w:rPr>
      <w:sz w:val="18"/>
      <w:szCs w:val="18"/>
    </w:rPr>
  </w:style>
  <w:style w:type="character" w:customStyle="1" w:styleId="18">
    <w:name w:val="页脚 字符"/>
    <w:basedOn w:val="15"/>
    <w:link w:val="7"/>
    <w:qFormat/>
    <w:uiPriority w:val="99"/>
    <w:rPr>
      <w:sz w:val="18"/>
      <w:szCs w:val="18"/>
    </w:rPr>
  </w:style>
  <w:style w:type="character" w:customStyle="1" w:styleId="19">
    <w:name w:val="正文文本 字符"/>
    <w:basedOn w:val="15"/>
    <w:link w:val="4"/>
    <w:qFormat/>
    <w:uiPriority w:val="0"/>
    <w:rPr>
      <w:rFonts w:ascii="Times New Roman" w:hAnsi="Times New Roman" w:eastAsia="宋体" w:cs="Times New Roman"/>
      <w:szCs w:val="24"/>
    </w:rPr>
  </w:style>
  <w:style w:type="character" w:customStyle="1" w:styleId="20">
    <w:name w:val="标题 字符"/>
    <w:basedOn w:val="15"/>
    <w:link w:val="12"/>
    <w:qFormat/>
    <w:uiPriority w:val="10"/>
    <w:rPr>
      <w:rFonts w:ascii="方正小标宋简体" w:hAnsi="等线 Light" w:eastAsia="方正小标宋简体" w:cs="Times New Roman"/>
      <w:sz w:val="44"/>
      <w:szCs w:val="44"/>
    </w:rPr>
  </w:style>
  <w:style w:type="character" w:customStyle="1" w:styleId="21">
    <w:name w:val="副标题 字符"/>
    <w:basedOn w:val="15"/>
    <w:link w:val="9"/>
    <w:qFormat/>
    <w:uiPriority w:val="11"/>
    <w:rPr>
      <w:rFonts w:ascii="等线" w:hAnsi="等线" w:eastAsia="等线" w:cs="Times New Roman"/>
      <w:kern w:val="28"/>
      <w:sz w:val="40"/>
      <w:szCs w:val="40"/>
    </w:rPr>
  </w:style>
  <w:style w:type="character" w:customStyle="1" w:styleId="22">
    <w:name w:val="批注框文本 字符"/>
    <w:basedOn w:val="15"/>
    <w:link w:val="6"/>
    <w:qFormat/>
    <w:uiPriority w:val="99"/>
    <w:rPr>
      <w:rFonts w:ascii="Times New Roman" w:hAnsi="Times New Roman" w:eastAsia="宋体" w:cs="Times New Roman"/>
      <w:sz w:val="18"/>
      <w:szCs w:val="18"/>
    </w:rPr>
  </w:style>
  <w:style w:type="paragraph" w:styleId="23">
    <w:name w:val="List Paragraph"/>
    <w:basedOn w:val="1"/>
    <w:qFormat/>
    <w:uiPriority w:val="34"/>
    <w:pPr>
      <w:ind w:firstLine="420" w:firstLineChars="200"/>
    </w:pPr>
  </w:style>
  <w:style w:type="table" w:customStyle="1" w:styleId="24">
    <w:name w:val="Table Normal"/>
    <w:qFormat/>
    <w:uiPriority w:val="0"/>
    <w:rPr>
      <w:rFonts w:ascii="Arial" w:hAnsi="Arial" w:eastAsia="宋体" w:cs="Arial"/>
      <w:snapToGrid w:val="0"/>
      <w:color w:val="000000"/>
      <w:sz w:val="21"/>
      <w:szCs w:val="21"/>
      <w:lang w:eastAsia="en-US"/>
    </w:rPr>
    <w:tblPr>
      <w:tblCellMar>
        <w:top w:w="0" w:type="dxa"/>
        <w:left w:w="0" w:type="dxa"/>
        <w:bottom w:w="0" w:type="dxa"/>
        <w:right w:w="0" w:type="dxa"/>
      </w:tblCellMar>
    </w:tblPr>
  </w:style>
  <w:style w:type="paragraph" w:customStyle="1" w:styleId="25">
    <w:name w:val="Table Text"/>
    <w:basedOn w:val="1"/>
    <w:semiHidden/>
    <w:qFormat/>
    <w:uiPriority w:val="0"/>
    <w:rPr>
      <w:rFonts w:ascii="宋体" w:hAnsi="宋体" w:eastAsia="宋体" w:cs="宋体"/>
      <w:sz w:val="22"/>
      <w:szCs w:val="22"/>
      <w:lang w:val="en-US" w:eastAsia="en-US" w:bidi="ar-SA"/>
    </w:rPr>
  </w:style>
  <w:style w:type="character" w:customStyle="1" w:styleId="26">
    <w:name w:val="font11"/>
    <w:basedOn w:val="15"/>
    <w:autoRedefine/>
    <w:qFormat/>
    <w:uiPriority w:val="0"/>
    <w:rPr>
      <w:rFonts w:hint="eastAsia" w:ascii="宋体" w:hAnsi="宋体" w:eastAsia="宋体" w:cs="宋体"/>
      <w:b/>
      <w:bCs/>
      <w:color w:val="000000"/>
      <w:sz w:val="24"/>
      <w:szCs w:val="24"/>
      <w:u w:val="none"/>
    </w:rPr>
  </w:style>
  <w:style w:type="character" w:customStyle="1" w:styleId="27">
    <w:name w:val="font21"/>
    <w:basedOn w:val="15"/>
    <w:autoRedefine/>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0.pn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9435</Words>
  <Characters>9692</Characters>
  <Paragraphs>97</Paragraphs>
  <TotalTime>1</TotalTime>
  <ScaleCrop>false</ScaleCrop>
  <LinksUpToDate>false</LinksUpToDate>
  <CharactersWithSpaces>9983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2023-12-10T03:27:00Z</dcterms:created>
  <dc:creator>Windows 用户</dc:creator>
  <cp:lastModifiedBy>李欣lx</cp:lastModifiedBy>
  <cp:lastPrinted>2026-10-08T08:35:53Z</cp:lastPrinted>
  <dcterms:modified xsi:type="dcterms:W3CDTF">2026-10-08T09:44:47Z</dcterms:modified>
  <cp:revision>393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D13BAAB41AD44E2098A13A310D107A01_13</vt:lpwstr>
  </property>
  <property fmtid="{D5CDD505-2E9C-101B-9397-08002B2CF9AE}" pid="4" name="KSOTemplateDocerSaveRecord">
    <vt:lpwstr>eyJoZGlkIjoiYjcyYmE2ZWFlMjUwZmFhMTU4MTczZmI2NmFhNmYyYzYiLCJ1c2VySWQiOiI1MzQ1MTUyMzgifQ==</vt:lpwstr>
  </property>
</Properties>
</file>