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B3D9B5">
      <w:pPr>
        <w:snapToGrid w:val="0"/>
        <w:spacing w:line="317" w:lineRule="auto"/>
        <w:jc w:val="both"/>
        <w:rPr>
          <w:rFonts w:eastAsia="方正小标宋简体"/>
          <w:color w:val="000000" w:themeColor="text1"/>
          <w:sz w:val="44"/>
          <w:szCs w:val="44"/>
          <w14:textFill>
            <w14:solidFill>
              <w14:schemeClr w14:val="tx1"/>
            </w14:solidFill>
          </w14:textFill>
        </w:rPr>
      </w:pPr>
    </w:p>
    <w:p w14:paraId="03AB2002">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w:t>
      </w:r>
      <w:r>
        <w:rPr>
          <w:rFonts w:hint="eastAsia" w:ascii="方正小标宋_GBK" w:hAnsi="方正小标宋_GBK" w:eastAsia="方正小标宋_GBK" w:cs="方正小标宋_GBK"/>
          <w:color w:val="000000" w:themeColor="text1"/>
          <w:sz w:val="44"/>
          <w:szCs w:val="44"/>
          <w:lang w:val="en-US" w:eastAsia="zh-CN"/>
          <w14:textFill>
            <w14:solidFill>
              <w14:schemeClr w14:val="tx1"/>
            </w14:solidFill>
          </w14:textFill>
        </w:rPr>
        <w:t>元江哈尼族彝族傣族自治</w:t>
      </w:r>
      <w:r>
        <w:rPr>
          <w:rFonts w:hint="eastAsia" w:ascii="方正小标宋_GBK" w:hAnsi="方正小标宋_GBK" w:eastAsia="方正小标宋_GBK" w:cs="方正小标宋_GBK"/>
          <w:color w:val="000000" w:themeColor="text1"/>
          <w:sz w:val="44"/>
          <w:szCs w:val="44"/>
          <w14:textFill>
            <w14:solidFill>
              <w14:schemeClr w14:val="tx1"/>
            </w14:solidFill>
          </w14:textFill>
        </w:rPr>
        <w:t>县</w:t>
      </w:r>
    </w:p>
    <w:p w14:paraId="0449E40B">
      <w:pPr>
        <w:snapToGrid w:val="0"/>
        <w:spacing w:line="317" w:lineRule="auto"/>
        <w:jc w:val="center"/>
        <w:rPr>
          <w:rFonts w:hint="default" w:ascii="方正小标宋_GBK" w:hAnsi="方正小标宋_GBK" w:eastAsia="方正小标宋_GBK" w:cs="方正小标宋_GBK"/>
          <w:color w:val="000000" w:themeColor="text1"/>
          <w:sz w:val="44"/>
          <w:szCs w:val="44"/>
          <w:lang w:val="en-US" w:eastAsia="zh-CN"/>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烟草制品零售点合理布局规划</w:t>
      </w:r>
    </w:p>
    <w:p w14:paraId="14A3BE4C">
      <w:pPr>
        <w:snapToGrid w:val="0"/>
        <w:spacing w:line="317" w:lineRule="auto"/>
        <w:jc w:val="center"/>
        <w:rPr>
          <w:rFonts w:hint="eastAsia" w:eastAsia="方正小标宋简体"/>
          <w:color w:val="000000" w:themeColor="text1"/>
          <w:sz w:val="44"/>
          <w:szCs w:val="44"/>
          <w:lang w:eastAsia="zh-CN"/>
          <w14:textFill>
            <w14:solidFill>
              <w14:schemeClr w14:val="tx1"/>
            </w14:solidFill>
          </w14:textFill>
        </w:rPr>
      </w:pPr>
    </w:p>
    <w:p w14:paraId="52E3BAB8">
      <w:pPr>
        <w:pStyle w:val="9"/>
        <w:numPr>
          <w:ilvl w:val="0"/>
          <w:numId w:val="1"/>
        </w:numPr>
        <w:snapToGrid w:val="0"/>
        <w:spacing w:before="312" w:beforeLines="100" w:after="312" w:afterLines="100" w:line="360" w:lineRule="auto"/>
        <w:ind w:firstLine="640" w:firstLineChars="200"/>
        <w:textAlignment w:val="baseline"/>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总则</w:t>
      </w:r>
    </w:p>
    <w:p w14:paraId="14F551FB">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为深入推进</w:t>
      </w:r>
      <w:r>
        <w:rPr>
          <w:rFonts w:hint="eastAsia" w:ascii="仿宋_GB2312" w:eastAsia="仿宋_GB2312"/>
          <w:color w:val="000000" w:themeColor="text1"/>
          <w:sz w:val="32"/>
          <w:szCs w:val="32"/>
          <w14:textFill>
            <w14:solidFill>
              <w14:schemeClr w14:val="tx1"/>
            </w14:solidFill>
          </w14:textFill>
        </w:rPr>
        <w:t>“放管服”</w:t>
      </w:r>
      <w:r>
        <w:rPr>
          <w:rFonts w:eastAsia="仿宋_GB2312"/>
          <w:color w:val="000000" w:themeColor="text1"/>
          <w:sz w:val="32"/>
          <w:szCs w:val="32"/>
          <w14:textFill>
            <w14:solidFill>
              <w14:schemeClr w14:val="tx1"/>
            </w14:solidFill>
          </w14:textFill>
        </w:rPr>
        <w:t>改革，依法依规、科学合理制定烟草制品零售点合理布局规划，提升烟草专卖行政许可的公开性、公平性和公正性，依据《中华人民共和国行政许可法》</w:t>
      </w:r>
      <w:r>
        <w:rPr>
          <w:rFonts w:eastAsia="仿宋_GB2312"/>
          <w:bCs/>
          <w:color w:val="000000" w:themeColor="text1"/>
          <w:sz w:val="32"/>
          <w:szCs w:val="32"/>
          <w14:textFill>
            <w14:solidFill>
              <w14:schemeClr w14:val="tx1"/>
            </w14:solidFill>
          </w14:textFill>
        </w:rPr>
        <w:t>《中华人民共和国未成年人保护法》《中华人民共和国烟草专卖法》</w:t>
      </w:r>
      <w:r>
        <w:rPr>
          <w:rFonts w:eastAsia="仿宋_GB2312"/>
          <w:color w:val="000000" w:themeColor="text1"/>
          <w:sz w:val="32"/>
          <w:szCs w:val="32"/>
          <w14:textFill>
            <w14:solidFill>
              <w14:schemeClr w14:val="tx1"/>
            </w14:solidFill>
          </w14:textFill>
        </w:rPr>
        <w:t>《中华人民共和国烟草专卖法实施条例》《烟草专卖许可证管理办法》《烟草专卖许可证管理办法实施细则》等法律</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法规</w:t>
      </w:r>
      <w:r>
        <w:rPr>
          <w:rFonts w:hint="eastAsia" w:eastAsia="仿宋_GB2312"/>
          <w:color w:val="000000" w:themeColor="text1"/>
          <w:sz w:val="32"/>
          <w:szCs w:val="32"/>
          <w14:textFill>
            <w14:solidFill>
              <w14:schemeClr w14:val="tx1"/>
            </w14:solidFill>
          </w14:textFill>
        </w:rPr>
        <w:t>、</w:t>
      </w:r>
      <w:r>
        <w:rPr>
          <w:rFonts w:eastAsia="仿宋_GB2312"/>
          <w:color w:val="000000" w:themeColor="text1"/>
          <w:sz w:val="32"/>
          <w:szCs w:val="32"/>
          <w14:textFill>
            <w14:solidFill>
              <w14:schemeClr w14:val="tx1"/>
            </w14:solidFill>
          </w14:textFill>
        </w:rPr>
        <w:t>规章</w:t>
      </w:r>
      <w:r>
        <w:rPr>
          <w:rFonts w:hint="eastAsia" w:eastAsia="仿宋_GB2312"/>
          <w:color w:val="000000" w:themeColor="text1"/>
          <w:sz w:val="32"/>
          <w:szCs w:val="32"/>
          <w14:textFill>
            <w14:solidFill>
              <w14:schemeClr w14:val="tx1"/>
            </w14:solidFill>
          </w14:textFill>
        </w:rPr>
        <w:t>和国家烟草专卖局</w:t>
      </w:r>
      <w:r>
        <w:rPr>
          <w:rFonts w:eastAsia="仿宋_GB2312"/>
          <w:color w:val="000000" w:themeColor="text1"/>
          <w:sz w:val="32"/>
          <w:szCs w:val="32"/>
          <w14:textFill>
            <w14:solidFill>
              <w14:schemeClr w14:val="tx1"/>
            </w14:solidFill>
          </w14:textFill>
        </w:rPr>
        <w:t>的</w:t>
      </w:r>
      <w:r>
        <w:rPr>
          <w:rFonts w:hint="eastAsia" w:eastAsia="仿宋_GB2312"/>
          <w:color w:val="000000" w:themeColor="text1"/>
          <w:sz w:val="32"/>
          <w:szCs w:val="32"/>
          <w14:textFill>
            <w14:solidFill>
              <w14:schemeClr w14:val="tx1"/>
            </w14:solidFill>
          </w14:textFill>
        </w:rPr>
        <w:t>有关</w:t>
      </w:r>
      <w:r>
        <w:rPr>
          <w:rFonts w:eastAsia="仿宋_GB2312"/>
          <w:color w:val="000000" w:themeColor="text1"/>
          <w:sz w:val="32"/>
          <w:szCs w:val="32"/>
          <w14:textFill>
            <w14:solidFill>
              <w14:schemeClr w14:val="tx1"/>
            </w14:solidFill>
          </w14:textFill>
        </w:rPr>
        <w:t>规定，结合</w:t>
      </w:r>
      <w:r>
        <w:rPr>
          <w:rFonts w:hint="eastAsia" w:eastAsia="仿宋_GB2312"/>
          <w:color w:val="000000" w:themeColor="text1"/>
          <w:sz w:val="32"/>
          <w:szCs w:val="32"/>
          <w:lang w:val="en-US" w:eastAsia="zh-CN"/>
          <w14:textFill>
            <w14:solidFill>
              <w14:schemeClr w14:val="tx1"/>
            </w14:solidFill>
          </w14:textFill>
        </w:rPr>
        <w:t>元江</w:t>
      </w:r>
      <w:r>
        <w:rPr>
          <w:rFonts w:eastAsia="仿宋_GB2312"/>
          <w:color w:val="000000" w:themeColor="text1"/>
          <w:sz w:val="32"/>
          <w:szCs w:val="32"/>
          <w14:textFill>
            <w14:solidFill>
              <w14:schemeClr w14:val="tx1"/>
            </w14:solidFill>
          </w14:textFill>
        </w:rPr>
        <w:t>县实际，制定本规划。</w:t>
      </w:r>
    </w:p>
    <w:p w14:paraId="14685109">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本规划适用于云南省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县行政辖区范围内烟草制品零售点的布局管理。电子烟零售点布局</w:t>
      </w:r>
      <w:r>
        <w:rPr>
          <w:rFonts w:eastAsia="仿宋_GB2312"/>
          <w:color w:val="000000" w:themeColor="text1"/>
          <w:sz w:val="32"/>
          <w:szCs w:val="32"/>
          <w14:textFill>
            <w14:solidFill>
              <w14:schemeClr w14:val="tx1"/>
            </w14:solidFill>
          </w14:textFill>
        </w:rPr>
        <w:t>按照《云南省电子烟零售点布局规划》执行</w:t>
      </w:r>
      <w:r>
        <w:rPr>
          <w:rFonts w:hint="eastAsia" w:eastAsia="仿宋_GB2312"/>
          <w:color w:val="000000" w:themeColor="text1"/>
          <w:sz w:val="32"/>
          <w:szCs w:val="32"/>
          <w:lang w:eastAsia="zh-CN"/>
          <w14:textFill>
            <w14:solidFill>
              <w14:schemeClr w14:val="tx1"/>
            </w14:solidFill>
          </w14:textFill>
        </w:rPr>
        <w:t>。</w:t>
      </w:r>
    </w:p>
    <w:p w14:paraId="2C711BF2">
      <w:pPr>
        <w:numPr>
          <w:ilvl w:val="2"/>
          <w:numId w:val="2"/>
        </w:numPr>
        <w:adjustRightInd w:val="0"/>
        <w:snapToGrid w:val="0"/>
        <w:spacing w:line="360" w:lineRule="auto"/>
        <w:ind w:left="-50" w:leftChars="0" w:firstLine="640" w:firstLineChars="0"/>
        <w:jc w:val="left"/>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本规划所称烟草制品零售点（以下简称零售点）是指依法取得烟草专卖零售许可证（以下简称零售许可证）的公民、法人</w:t>
      </w:r>
      <w:r>
        <w:rPr>
          <w:rFonts w:hint="eastAsia" w:eastAsia="仿宋_GB2312"/>
          <w:color w:val="000000" w:themeColor="text1"/>
          <w:sz w:val="32"/>
          <w:szCs w:val="32"/>
          <w:lang w:val="en-US" w:eastAsia="zh-CN"/>
          <w14:textFill>
            <w14:solidFill>
              <w14:schemeClr w14:val="tx1"/>
            </w14:solidFill>
          </w14:textFill>
        </w:rPr>
        <w:t>或</w:t>
      </w:r>
      <w:r>
        <w:rPr>
          <w:rFonts w:eastAsia="仿宋_GB2312"/>
          <w:color w:val="000000" w:themeColor="text1"/>
          <w:sz w:val="32"/>
          <w:szCs w:val="32"/>
          <w14:textFill>
            <w14:solidFill>
              <w14:schemeClr w14:val="tx1"/>
            </w14:solidFill>
          </w14:textFill>
        </w:rPr>
        <w:t>其他组织从事烟草制品零售业务的经营场所。</w:t>
      </w:r>
    </w:p>
    <w:p w14:paraId="166FCD48">
      <w:pPr>
        <w:adjustRightInd w:val="0"/>
        <w:snapToGrid w:val="0"/>
        <w:spacing w:line="360" w:lineRule="auto"/>
        <w:ind w:firstLine="640" w:firstLineChars="200"/>
        <w:rPr>
          <w:rFonts w:eastAsia="仿宋_GB2312"/>
          <w:bCs/>
          <w:color w:val="000000" w:themeColor="text1"/>
          <w:sz w:val="32"/>
          <w:szCs w:val="32"/>
          <w14:textFill>
            <w14:solidFill>
              <w14:schemeClr w14:val="tx1"/>
            </w14:solidFill>
          </w14:textFill>
        </w:rPr>
      </w:pPr>
      <w:r>
        <w:rPr>
          <w:rFonts w:eastAsia="仿宋_GB2312"/>
          <w:bCs/>
          <w:color w:val="000000" w:themeColor="text1"/>
          <w:sz w:val="32"/>
          <w:szCs w:val="32"/>
          <w14:textFill>
            <w14:solidFill>
              <w14:schemeClr w14:val="tx1"/>
            </w14:solidFill>
          </w14:textFill>
        </w:rPr>
        <w:t>零售点应当设置于与住所相独立的固定经营场所，经营场所与住所应当</w:t>
      </w:r>
      <w:r>
        <w:rPr>
          <w:rFonts w:eastAsia="仿宋_GB2312"/>
          <w:color w:val="000000" w:themeColor="text1"/>
          <w:sz w:val="32"/>
          <w:szCs w:val="32"/>
          <w14:textFill>
            <w14:solidFill>
              <w14:schemeClr w14:val="tx1"/>
            </w14:solidFill>
          </w14:textFill>
        </w:rPr>
        <w:t>在空间上相互独立，在物理特性上应有实体墙相隔离</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不能具有连通性。</w:t>
      </w:r>
      <w:r>
        <w:rPr>
          <w:rFonts w:eastAsia="仿宋_GB2312"/>
          <w:color w:val="000000" w:themeColor="text1"/>
          <w:sz w:val="32"/>
          <w:szCs w:val="32"/>
          <w14:textFill>
            <w14:solidFill>
              <w14:schemeClr w14:val="tx1"/>
            </w14:solidFill>
          </w14:textFill>
        </w:rPr>
        <w:t>经营场所</w:t>
      </w:r>
      <w:r>
        <w:rPr>
          <w:rFonts w:hint="eastAsia" w:eastAsia="仿宋_GB2312"/>
          <w:color w:val="000000" w:themeColor="text1"/>
          <w:sz w:val="32"/>
          <w:szCs w:val="32"/>
          <w14:textFill>
            <w14:solidFill>
              <w14:schemeClr w14:val="tx1"/>
            </w14:solidFill>
          </w14:textFill>
        </w:rPr>
        <w:t>应有指向明确并唯一的门牌、地址或者方位表述，</w:t>
      </w:r>
      <w:r>
        <w:rPr>
          <w:rFonts w:hint="eastAsia" w:eastAsia="仿宋_GB2312"/>
          <w:bCs/>
          <w:color w:val="000000" w:themeColor="text1"/>
          <w:sz w:val="32"/>
          <w:szCs w:val="32"/>
          <w14:textFill>
            <w14:solidFill>
              <w14:schemeClr w14:val="tx1"/>
            </w14:solidFill>
          </w14:textFill>
        </w:rPr>
        <w:t>且</w:t>
      </w:r>
      <w:r>
        <w:rPr>
          <w:rFonts w:eastAsia="仿宋_GB2312"/>
          <w:bCs/>
          <w:color w:val="000000" w:themeColor="text1"/>
          <w:sz w:val="32"/>
          <w:szCs w:val="32"/>
          <w14:textFill>
            <w14:solidFill>
              <w14:schemeClr w14:val="tx1"/>
            </w14:solidFill>
          </w14:textFill>
        </w:rPr>
        <w:t>与营业执照登记注册的经营场所一致</w:t>
      </w:r>
      <w:r>
        <w:rPr>
          <w:rFonts w:hint="eastAsia" w:eastAsia="仿宋_GB2312"/>
          <w:bCs/>
          <w:color w:val="000000" w:themeColor="text1"/>
          <w:sz w:val="32"/>
          <w:szCs w:val="32"/>
          <w14:textFill>
            <w14:solidFill>
              <w14:schemeClr w14:val="tx1"/>
            </w14:solidFill>
          </w14:textFill>
        </w:rPr>
        <w:t>，并</w:t>
      </w:r>
      <w:r>
        <w:rPr>
          <w:rFonts w:eastAsia="仿宋_GB2312"/>
          <w:bCs/>
          <w:color w:val="000000" w:themeColor="text1"/>
          <w:sz w:val="32"/>
          <w:szCs w:val="32"/>
          <w14:textFill>
            <w14:solidFill>
              <w14:schemeClr w14:val="tx1"/>
            </w14:solidFill>
          </w14:textFill>
        </w:rPr>
        <w:t>面向公众经营。</w:t>
      </w:r>
    </w:p>
    <w:p w14:paraId="0E45E335">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本规划遵循依法行政、科学规划、服务社会、均衡发展原则</w:t>
      </w:r>
      <w:r>
        <w:rPr>
          <w:rFonts w:hint="eastAsia" w:eastAsia="仿宋_GB2312"/>
          <w:color w:val="000000" w:themeColor="text1"/>
          <w:sz w:val="32"/>
          <w:szCs w:val="32"/>
          <w:lang w:eastAsia="zh-CN"/>
          <w14:textFill>
            <w14:solidFill>
              <w14:schemeClr w14:val="tx1"/>
            </w14:solidFill>
          </w14:textFill>
        </w:rPr>
        <w:t>。</w:t>
      </w:r>
      <w:r>
        <w:rPr>
          <w:rFonts w:eastAsia="仿宋_GB2312"/>
          <w:color w:val="000000" w:themeColor="text1"/>
          <w:sz w:val="32"/>
          <w:szCs w:val="32"/>
          <w14:textFill>
            <w14:solidFill>
              <w14:schemeClr w14:val="tx1"/>
            </w14:solidFill>
          </w14:textFill>
        </w:rPr>
        <w:t>综合辖区内人口数量、交通状况、经济发展水平、消费能力等因素，对零售点进行科学合理的规划布局。</w:t>
      </w:r>
    </w:p>
    <w:p w14:paraId="263C4DF3">
      <w:pPr>
        <w:pStyle w:val="9"/>
        <w:numPr>
          <w:ilvl w:val="0"/>
          <w:numId w:val="1"/>
        </w:numPr>
        <w:snapToGrid w:val="0"/>
        <w:spacing w:before="312" w:beforeLines="100" w:after="312" w:afterLines="100" w:line="360" w:lineRule="auto"/>
        <w:ind w:firstLine="640" w:firstLineChars="200"/>
        <w:textAlignment w:val="baseline"/>
        <w:rPr>
          <w:color w:val="000000" w:themeColor="text1"/>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零售点布局标准</w:t>
      </w:r>
    </w:p>
    <w:p w14:paraId="5DD46A31">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本章适用于经营范围除“仅为雪茄烟本店零售”以外的卷烟、雪茄烟、消费类烟丝的零售点布局管理。</w:t>
      </w:r>
    </w:p>
    <w:p w14:paraId="58673677">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零</w:t>
      </w:r>
      <w:r>
        <w:rPr>
          <w:rFonts w:eastAsia="仿宋_GB2312"/>
          <w:color w:val="000000" w:themeColor="text1"/>
          <w:sz w:val="32"/>
          <w:szCs w:val="32"/>
          <w14:textFill>
            <w14:solidFill>
              <w14:schemeClr w14:val="tx1"/>
            </w14:solidFill>
          </w14:textFill>
        </w:rPr>
        <w:t>售点布局采用数量限制、距离限制、数量限制</w:t>
      </w:r>
      <w:r>
        <w:rPr>
          <w:rFonts w:eastAsia="仿宋_GB2312"/>
          <w:bCs/>
          <w:color w:val="000000" w:themeColor="text1"/>
          <w:sz w:val="32"/>
          <w:szCs w:val="32"/>
          <w14:textFill>
            <w14:solidFill>
              <w14:schemeClr w14:val="tx1"/>
            </w14:solidFill>
          </w14:textFill>
        </w:rPr>
        <w:t>与距离</w:t>
      </w:r>
      <w:r>
        <w:rPr>
          <w:rFonts w:eastAsia="仿宋_GB2312"/>
          <w:color w:val="000000" w:themeColor="text1"/>
          <w:sz w:val="32"/>
          <w:szCs w:val="32"/>
          <w14:textFill>
            <w14:solidFill>
              <w14:schemeClr w14:val="tx1"/>
            </w14:solidFill>
          </w14:textFill>
        </w:rPr>
        <w:t>限制</w:t>
      </w:r>
      <w:r>
        <w:rPr>
          <w:rFonts w:eastAsia="仿宋_GB2312"/>
          <w:bCs/>
          <w:color w:val="000000" w:themeColor="text1"/>
          <w:sz w:val="32"/>
          <w:szCs w:val="32"/>
          <w14:textFill>
            <w14:solidFill>
              <w14:schemeClr w14:val="tx1"/>
            </w14:solidFill>
          </w14:textFill>
        </w:rPr>
        <w:t>相结合</w:t>
      </w:r>
      <w:r>
        <w:rPr>
          <w:rFonts w:hint="eastAsia" w:eastAsia="仿宋_GB2312"/>
          <w:bCs/>
          <w:color w:val="000000" w:themeColor="text1"/>
          <w:sz w:val="32"/>
          <w:szCs w:val="32"/>
          <w:lang w:val="en-US" w:eastAsia="zh-CN"/>
          <w14:textFill>
            <w14:solidFill>
              <w14:schemeClr w14:val="tx1"/>
            </w14:solidFill>
          </w14:textFill>
        </w:rPr>
        <w:t>以及</w:t>
      </w:r>
      <w:r>
        <w:rPr>
          <w:rFonts w:eastAsia="仿宋_GB2312"/>
          <w:color w:val="000000" w:themeColor="text1"/>
          <w:sz w:val="32"/>
          <w:szCs w:val="32"/>
          <w14:textFill>
            <w14:solidFill>
              <w14:schemeClr w14:val="tx1"/>
            </w14:solidFill>
          </w14:textFill>
        </w:rPr>
        <w:t>不予设置烟草制品零售点等布局标准。</w:t>
      </w:r>
    </w:p>
    <w:p w14:paraId="417B4AA0">
      <w:pPr>
        <w:numPr>
          <w:ilvl w:val="2"/>
          <w:numId w:val="2"/>
        </w:numPr>
        <w:adjustRightInd w:val="0"/>
        <w:snapToGrid w:val="0"/>
        <w:spacing w:line="360" w:lineRule="auto"/>
        <w:ind w:left="-50" w:leftChars="0" w:firstLine="640" w:firstLineChars="0"/>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根据地域面积、人口数量、交通状况、经济发展水平、居民消费能力、消费购买习惯等因素，合理确定区域零售点规划数，并划定单元网格。单元网格零售点规划数是指单元网格内可设置零售点的数量。总量规划数是指</w:t>
      </w:r>
      <w:r>
        <w:rPr>
          <w:rFonts w:hint="eastAsia" w:eastAsia="仿宋_GB2312"/>
          <w:color w:val="000000" w:themeColor="text1"/>
          <w:sz w:val="32"/>
          <w:szCs w:val="32"/>
          <w:lang w:val="en-US" w:eastAsia="zh-CN"/>
          <w14:textFill>
            <w14:solidFill>
              <w14:schemeClr w14:val="tx1"/>
            </w14:solidFill>
          </w14:textFill>
        </w:rPr>
        <w:t>元江</w:t>
      </w:r>
      <w:r>
        <w:rPr>
          <w:rFonts w:eastAsia="仿宋_GB2312"/>
          <w:color w:val="000000" w:themeColor="text1"/>
          <w:sz w:val="32"/>
          <w:szCs w:val="32"/>
          <w14:textFill>
            <w14:solidFill>
              <w14:schemeClr w14:val="tx1"/>
            </w14:solidFill>
          </w14:textFill>
        </w:rPr>
        <w:t>县辖区范围内所有单元网格零售点规划数之和。</w:t>
      </w:r>
    </w:p>
    <w:p w14:paraId="3660C878">
      <w:pPr>
        <w:adjustRightInd w:val="0"/>
        <w:snapToGrid w:val="0"/>
        <w:spacing w:line="360" w:lineRule="auto"/>
        <w:ind w:firstLine="640" w:firstLineChars="200"/>
        <w:textAlignment w:val="baseline"/>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除本规划规定的特殊区域外，单元网格内零售点数量达到规划数时，该单元网格不予新设零售点。</w:t>
      </w:r>
    </w:p>
    <w:p w14:paraId="71AEC097">
      <w:pPr>
        <w:numPr>
          <w:ilvl w:val="2"/>
          <w:numId w:val="2"/>
        </w:numPr>
        <w:adjustRightInd w:val="0"/>
        <w:snapToGrid w:val="0"/>
        <w:spacing w:line="360" w:lineRule="auto"/>
        <w:ind w:left="-50" w:leftChars="0" w:firstLine="680" w:firstLineChars="0"/>
        <w:jc w:val="both"/>
        <w:rPr>
          <w:rFonts w:eastAsia="仿宋_GB2312"/>
          <w:color w:val="000000" w:themeColor="text1"/>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根据零售市场状态、</w:t>
      </w:r>
      <w:r>
        <w:rPr>
          <w:rFonts w:eastAsia="仿宋_GB2312"/>
          <w:color w:val="000000" w:themeColor="text1"/>
          <w:sz w:val="32"/>
          <w:szCs w:val="32"/>
          <w14:textFill>
            <w14:solidFill>
              <w14:schemeClr w14:val="tx1"/>
            </w14:solidFill>
          </w14:textFill>
        </w:rPr>
        <w:t>交通状况、人口热度、消费购买习惯等</w:t>
      </w:r>
      <w:r>
        <w:rPr>
          <w:rFonts w:eastAsia="仿宋_GB2312"/>
          <w:color w:val="000000" w:themeColor="text1"/>
          <w:spacing w:val="10"/>
          <w:sz w:val="32"/>
          <w:szCs w:val="32"/>
          <w14:textFill>
            <w14:solidFill>
              <w14:schemeClr w14:val="tx1"/>
            </w14:solidFill>
          </w14:textFill>
        </w:rPr>
        <w:t>因素，合理确定零售点间距。零售点间距是指申请人拟从事烟草制品零售业务的经营场所与最近的烟草制品零售点之间的距离。测量的总体原则为两个零售点“门边到门边”可安全步行的最短距离。</w:t>
      </w:r>
      <w:r>
        <w:rPr>
          <w:rFonts w:eastAsia="仿宋_GB2312"/>
          <w:color w:val="000000" w:themeColor="text1"/>
          <w:sz w:val="32"/>
          <w:szCs w:val="32"/>
          <w14:textFill>
            <w14:solidFill>
              <w14:schemeClr w14:val="tx1"/>
            </w14:solidFill>
          </w14:textFill>
        </w:rPr>
        <w:t>测量规则及标准</w:t>
      </w:r>
      <w:r>
        <w:rPr>
          <w:rFonts w:eastAsia="仿宋_GB2312"/>
          <w:color w:val="000000" w:themeColor="text1"/>
          <w:spacing w:val="10"/>
          <w:sz w:val="32"/>
          <w:szCs w:val="32"/>
          <w14:textFill>
            <w14:solidFill>
              <w14:schemeClr w14:val="tx1"/>
            </w14:solidFill>
          </w14:textFill>
        </w:rPr>
        <w:t>详见《云南省</w:t>
      </w:r>
      <w:r>
        <w:rPr>
          <w:rFonts w:hint="eastAsia" w:eastAsia="仿宋_GB2312"/>
          <w:color w:val="000000" w:themeColor="text1"/>
          <w:spacing w:val="10"/>
          <w:sz w:val="32"/>
          <w:szCs w:val="32"/>
          <w:lang w:val="en-US" w:eastAsia="zh-CN"/>
          <w14:textFill>
            <w14:solidFill>
              <w14:schemeClr w14:val="tx1"/>
            </w14:solidFill>
          </w14:textFill>
        </w:rPr>
        <w:t>元江哈尼族彝族傣族自治</w:t>
      </w:r>
      <w:r>
        <w:rPr>
          <w:rFonts w:eastAsia="仿宋_GB2312"/>
          <w:color w:val="000000" w:themeColor="text1"/>
          <w:spacing w:val="10"/>
          <w:sz w:val="32"/>
          <w:szCs w:val="32"/>
          <w14:textFill>
            <w14:solidFill>
              <w14:schemeClr w14:val="tx1"/>
            </w14:solidFill>
          </w14:textFill>
        </w:rPr>
        <w:t>县烟草制品零售点间距测量规则及标准》（附件</w:t>
      </w:r>
      <w:r>
        <w:rPr>
          <w:rFonts w:hint="eastAsia" w:eastAsia="仿宋_GB2312"/>
          <w:color w:val="000000" w:themeColor="text1"/>
          <w:spacing w:val="10"/>
          <w:sz w:val="32"/>
          <w:szCs w:val="32"/>
          <w14:textFill>
            <w14:solidFill>
              <w14:schemeClr w14:val="tx1"/>
            </w14:solidFill>
          </w14:textFill>
        </w:rPr>
        <w:t>1</w:t>
      </w:r>
      <w:r>
        <w:rPr>
          <w:rFonts w:eastAsia="仿宋_GB2312"/>
          <w:color w:val="000000" w:themeColor="text1"/>
          <w:spacing w:val="10"/>
          <w:sz w:val="32"/>
          <w:szCs w:val="32"/>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w:t>
      </w:r>
    </w:p>
    <w:p w14:paraId="1E5B9501">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在以下特殊区域可单独设置1个零售点，不受单元网格规划数及总量规划数限制</w:t>
      </w:r>
      <w:r>
        <w:rPr>
          <w:rFonts w:hint="eastAsia"/>
          <w:color w:val="000000" w:themeColor="text1"/>
          <w:lang w:eastAsia="zh-CN"/>
          <w14:textFill>
            <w14:solidFill>
              <w14:schemeClr w14:val="tx1"/>
            </w14:solidFill>
          </w14:textFill>
        </w:rPr>
        <w:t>：</w:t>
      </w:r>
    </w:p>
    <w:p w14:paraId="2ED7CA03">
      <w:pPr>
        <w:numPr>
          <w:ilvl w:val="0"/>
          <w:numId w:val="0"/>
        </w:numPr>
        <w:adjustRightInd w:val="0"/>
        <w:snapToGrid w:val="0"/>
        <w:spacing w:line="360" w:lineRule="auto"/>
        <w:ind w:firstLine="680" w:firstLineChars="20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一</w:t>
      </w:r>
      <w:r>
        <w:rPr>
          <w:rFonts w:hint="eastAsia" w:eastAsia="仿宋_GB2312"/>
          <w:color w:val="000000" w:themeColor="text1"/>
          <w:spacing w:val="10"/>
          <w:sz w:val="32"/>
          <w:szCs w:val="32"/>
          <w:lang w:eastAsia="zh-CN"/>
          <w14:textFill>
            <w14:solidFill>
              <w14:schemeClr w14:val="tx1"/>
            </w14:solidFill>
          </w14:textFill>
        </w:rPr>
        <w:t>）</w:t>
      </w:r>
      <w:r>
        <w:rPr>
          <w:rFonts w:eastAsia="仿宋_GB2312"/>
          <w:color w:val="000000" w:themeColor="text1"/>
          <w:spacing w:val="10"/>
          <w:sz w:val="32"/>
          <w:szCs w:val="32"/>
          <w14:textFill>
            <w14:solidFill>
              <w14:schemeClr w14:val="tx1"/>
            </w14:solidFill>
          </w14:textFill>
        </w:rPr>
        <w:t>火车站、汽车站等相对封闭的内部等候区</w:t>
      </w:r>
      <w:r>
        <w:rPr>
          <w:rFonts w:hint="eastAsia" w:eastAsia="仿宋_GB2312"/>
          <w:color w:val="000000" w:themeColor="text1"/>
          <w:spacing w:val="10"/>
          <w:sz w:val="32"/>
          <w:szCs w:val="32"/>
          <w:lang w:eastAsia="zh-CN"/>
          <w14:textFill>
            <w14:solidFill>
              <w14:schemeClr w14:val="tx1"/>
            </w14:solidFill>
          </w14:textFill>
        </w:rPr>
        <w:t>。</w:t>
      </w:r>
    </w:p>
    <w:p w14:paraId="2AB44F66">
      <w:pPr>
        <w:numPr>
          <w:ilvl w:val="0"/>
          <w:numId w:val="0"/>
        </w:numPr>
        <w:adjustRightInd w:val="0"/>
        <w:snapToGrid w:val="0"/>
        <w:spacing w:line="360" w:lineRule="auto"/>
        <w:ind w:firstLine="680" w:firstLineChars="20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二</w:t>
      </w:r>
      <w:r>
        <w:rPr>
          <w:rFonts w:hint="eastAsia" w:eastAsia="仿宋_GB2312"/>
          <w:color w:val="000000" w:themeColor="text1"/>
          <w:spacing w:val="10"/>
          <w:sz w:val="32"/>
          <w:szCs w:val="32"/>
          <w:lang w:eastAsia="zh-CN"/>
          <w14:textFill>
            <w14:solidFill>
              <w14:schemeClr w14:val="tx1"/>
            </w14:solidFill>
          </w14:textFill>
        </w:rPr>
        <w:t>）</w:t>
      </w:r>
      <w:r>
        <w:rPr>
          <w:rFonts w:eastAsia="仿宋_GB2312"/>
          <w:color w:val="000000" w:themeColor="text1"/>
          <w:spacing w:val="10"/>
          <w:sz w:val="32"/>
          <w:szCs w:val="32"/>
          <w14:textFill>
            <w14:solidFill>
              <w14:schemeClr w14:val="tx1"/>
            </w14:solidFill>
          </w14:textFill>
        </w:rPr>
        <w:t>部队、监狱、看守所、戒毒所等封闭式特殊区域</w:t>
      </w:r>
      <w:r>
        <w:rPr>
          <w:rFonts w:hint="eastAsia" w:eastAsia="仿宋_GB2312"/>
          <w:color w:val="000000" w:themeColor="text1"/>
          <w:spacing w:val="10"/>
          <w:sz w:val="32"/>
          <w:szCs w:val="32"/>
          <w:lang w:eastAsia="zh-CN"/>
          <w14:textFill>
            <w14:solidFill>
              <w14:schemeClr w14:val="tx1"/>
            </w14:solidFill>
          </w14:textFill>
        </w:rPr>
        <w:t>。</w:t>
      </w:r>
    </w:p>
    <w:p w14:paraId="53F71B62">
      <w:pPr>
        <w:adjustRightInd w:val="0"/>
        <w:snapToGrid w:val="0"/>
        <w:spacing w:line="360" w:lineRule="auto"/>
        <w:ind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三</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高速公路单侧加油站（含服务区）。</w:t>
      </w:r>
    </w:p>
    <w:p w14:paraId="60C8F38D">
      <w:pPr>
        <w:keepNext w:val="0"/>
        <w:keepLines w:val="0"/>
        <w:widowControl/>
        <w:suppressLineNumbers w:val="0"/>
        <w:jc w:val="right"/>
        <w:rPr>
          <w:color w:val="000000" w:themeColor="text1"/>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四</w:t>
      </w:r>
      <w:r>
        <w:rPr>
          <w:rFonts w:hint="eastAsia" w:eastAsia="仿宋_GB2312"/>
          <w:color w:val="000000" w:themeColor="text1"/>
          <w:spacing w:val="10"/>
          <w:sz w:val="32"/>
          <w:szCs w:val="32"/>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经营面积</w:t>
      </w:r>
      <w:r>
        <w:rPr>
          <w:rFonts w:ascii="仿宋_GB2312" w:hAnsi="宋体" w:eastAsia="仿宋_GB2312" w:cs="仿宋_GB2312"/>
          <w:color w:val="000000" w:themeColor="text1"/>
          <w:kern w:val="0"/>
          <w:sz w:val="31"/>
          <w:szCs w:val="31"/>
          <w:lang w:val="en-US" w:eastAsia="zh-CN" w:bidi="ar"/>
          <w14:textFill>
            <w14:solidFill>
              <w14:schemeClr w14:val="tx1"/>
            </w14:solidFill>
          </w14:textFill>
        </w:rPr>
        <w:t>（不包括仓库、车库、休息室、办公场</w:t>
      </w:r>
    </w:p>
    <w:p w14:paraId="7E3ADD8B">
      <w:pPr>
        <w:pStyle w:val="10"/>
        <w:keepNext w:val="0"/>
        <w:keepLines w:val="0"/>
        <w:widowControl/>
        <w:suppressLineNumbers w:val="0"/>
        <w:rPr>
          <w:rFonts w:hint="eastAsia" w:ascii="仿宋_GB2312" w:hAnsi="仿宋_GB2312" w:eastAsia="仿宋_GB2312" w:cs="仿宋_GB2312"/>
          <w:b w:val="0"/>
          <w:bCs w:val="0"/>
          <w:color w:val="000000" w:themeColor="text1"/>
          <w:sz w:val="32"/>
          <w:szCs w:val="32"/>
          <w14:textFill>
            <w14:solidFill>
              <w14:schemeClr w14:val="tx1"/>
            </w14:solidFill>
          </w14:textFill>
        </w:rPr>
      </w:pPr>
      <w:r>
        <w:rPr>
          <w:rFonts w:hint="eastAsia" w:ascii="仿宋_GB2312" w:eastAsia="仿宋_GB2312" w:cs="仿宋_GB2312"/>
          <w:color w:val="000000" w:themeColor="text1"/>
          <w:sz w:val="31"/>
          <w:szCs w:val="31"/>
          <w14:textFill>
            <w14:solidFill>
              <w14:schemeClr w14:val="tx1"/>
            </w14:solidFill>
          </w14:textFill>
        </w:rPr>
        <w:t>所等辅助设施面积）</w:t>
      </w:r>
      <w:r>
        <w:rPr>
          <w:rFonts w:hint="eastAsia" w:ascii="仿宋_GB2312" w:hAnsi="仿宋_GB2312" w:eastAsia="仿宋_GB2312" w:cs="仿宋_GB2312"/>
          <w:b w:val="0"/>
          <w:bCs w:val="0"/>
          <w:color w:val="000000" w:themeColor="text1"/>
          <w:sz w:val="32"/>
          <w:szCs w:val="32"/>
          <w14:textFill>
            <w14:solidFill>
              <w14:schemeClr w14:val="tx1"/>
            </w14:solidFill>
          </w14:textFill>
        </w:rPr>
        <w:t>达到2000平方米及以上的超市、1</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14:textFill>
            <w14:solidFill>
              <w14:schemeClr w14:val="tx1"/>
            </w14:solidFill>
          </w14:textFill>
        </w:rPr>
        <w:t>0平方米及以上的便利店。</w:t>
      </w:r>
    </w:p>
    <w:p w14:paraId="172EF2A9">
      <w:pPr>
        <w:keepNext w:val="0"/>
        <w:keepLines w:val="0"/>
        <w:widowControl/>
        <w:suppressLineNumbers w:val="0"/>
        <w:ind w:firstLine="680" w:firstLineChars="200"/>
        <w:jc w:val="both"/>
        <w:rPr>
          <w:rFonts w:hint="default"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五</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商用办公楼宇公共楼层已形成实际商品展卖场所的，每栋</w:t>
      </w:r>
      <w:r>
        <w:rPr>
          <w:rFonts w:hint="eastAsia" w:eastAsia="仿宋_GB2312"/>
          <w:color w:val="000000" w:themeColor="text1"/>
          <w:spacing w:val="10"/>
          <w:sz w:val="32"/>
          <w:szCs w:val="32"/>
          <w:lang w:eastAsia="zh-CN"/>
          <w14:textFill>
            <w14:solidFill>
              <w14:schemeClr w14:val="tx1"/>
            </w14:solidFill>
          </w14:textFill>
        </w:rPr>
        <w:t>楼宇可设置1个零售点，非公共楼层不予设置零售点。</w:t>
      </w:r>
    </w:p>
    <w:p w14:paraId="5ECF3C3A">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元江</w:t>
      </w:r>
      <w:r>
        <w:rPr>
          <w:rFonts w:eastAsia="仿宋_GB2312"/>
          <w:color w:val="000000" w:themeColor="text1"/>
          <w:sz w:val="32"/>
          <w:szCs w:val="32"/>
          <w14:textFill>
            <w14:solidFill>
              <w14:schemeClr w14:val="tx1"/>
            </w14:solidFill>
          </w14:textFill>
        </w:rPr>
        <w:t>县零售点合</w:t>
      </w:r>
      <w:r>
        <w:rPr>
          <w:rFonts w:eastAsia="仿宋_GB2312"/>
          <w:color w:val="000000" w:themeColor="text1"/>
          <w:sz w:val="32"/>
          <w:szCs w:val="32"/>
          <w14:textFill>
            <w14:solidFill>
              <w14:schemeClr w14:val="tx1"/>
            </w14:solidFill>
          </w14:textFill>
        </w:rPr>
        <w:t>理布局规划数及规划区域、</w:t>
      </w:r>
      <w:r>
        <w:rPr>
          <w:rFonts w:hint="eastAsia" w:eastAsia="仿宋_GB2312"/>
          <w:color w:val="000000" w:themeColor="text1"/>
          <w:sz w:val="32"/>
          <w:szCs w:val="32"/>
          <w:lang w:val="en-US" w:eastAsia="zh-CN"/>
          <w14:textFill>
            <w14:solidFill>
              <w14:schemeClr w14:val="tx1"/>
            </w14:solidFill>
          </w14:textFill>
        </w:rPr>
        <w:t>单元</w:t>
      </w:r>
      <w:r>
        <w:rPr>
          <w:rFonts w:eastAsia="仿宋_GB2312"/>
          <w:color w:val="000000" w:themeColor="text1"/>
          <w:sz w:val="32"/>
          <w:szCs w:val="32"/>
          <w14:textFill>
            <w14:solidFill>
              <w14:schemeClr w14:val="tx1"/>
            </w14:solidFill>
          </w14:textFill>
        </w:rPr>
        <w:t>网格</w:t>
      </w:r>
      <w:r>
        <w:rPr>
          <w:rFonts w:hint="eastAsia" w:eastAsia="仿宋_GB2312"/>
          <w:color w:val="000000" w:themeColor="text1"/>
          <w:sz w:val="32"/>
          <w:szCs w:val="32"/>
          <w:lang w:val="en-US" w:eastAsia="zh-CN"/>
          <w14:textFill>
            <w14:solidFill>
              <w14:schemeClr w14:val="tx1"/>
            </w14:solidFill>
          </w14:textFill>
        </w:rPr>
        <w:t>等情况</w:t>
      </w:r>
      <w:r>
        <w:rPr>
          <w:rFonts w:eastAsia="仿宋_GB2312"/>
          <w:color w:val="000000" w:themeColor="text1"/>
          <w:sz w:val="32"/>
          <w:szCs w:val="32"/>
          <w14:textFill>
            <w14:solidFill>
              <w14:schemeClr w14:val="tx1"/>
            </w14:solidFill>
          </w14:textFill>
        </w:rPr>
        <w:t>等详见《云南省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县烟草专卖局烟草制品零售点合理布局公示表》（附件</w:t>
      </w:r>
      <w:r>
        <w:rPr>
          <w:rFonts w:hint="eastAsia" w:eastAsia="仿宋_GB2312"/>
          <w:color w:val="000000" w:themeColor="text1"/>
          <w:sz w:val="32"/>
          <w:szCs w:val="32"/>
          <w14:textFill>
            <w14:solidFill>
              <w14:schemeClr w14:val="tx1"/>
            </w14:solidFill>
          </w14:textFill>
        </w:rPr>
        <w:t>2</w:t>
      </w:r>
      <w:r>
        <w:rPr>
          <w:rFonts w:eastAsia="仿宋_GB2312"/>
          <w:color w:val="000000" w:themeColor="text1"/>
          <w:sz w:val="32"/>
          <w:szCs w:val="32"/>
          <w14:textFill>
            <w14:solidFill>
              <w14:schemeClr w14:val="tx1"/>
            </w14:solidFill>
          </w14:textFill>
        </w:rPr>
        <w:t>）及《云南省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县烟草专卖局烟草制品零售点合理布局网格示意图》（附件</w:t>
      </w:r>
      <w:r>
        <w:rPr>
          <w:rFonts w:hint="eastAsia" w:eastAsia="仿宋_GB2312"/>
          <w:color w:val="000000" w:themeColor="text1"/>
          <w:sz w:val="32"/>
          <w:szCs w:val="32"/>
          <w:lang w:val="en-US" w:eastAsia="zh-CN"/>
          <w14:textFill>
            <w14:solidFill>
              <w14:schemeClr w14:val="tx1"/>
            </w14:solidFill>
          </w14:textFill>
        </w:rPr>
        <w:t>3</w:t>
      </w:r>
      <w:r>
        <w:rPr>
          <w:rFonts w:eastAsia="仿宋_GB2312"/>
          <w:color w:val="000000" w:themeColor="text1"/>
          <w:sz w:val="32"/>
          <w:szCs w:val="32"/>
          <w14:textFill>
            <w14:solidFill>
              <w14:schemeClr w14:val="tx1"/>
            </w14:solidFill>
          </w14:textFill>
        </w:rPr>
        <w:t>）。</w:t>
      </w:r>
    </w:p>
    <w:p w14:paraId="013D6E44">
      <w:pPr>
        <w:numPr>
          <w:ilvl w:val="0"/>
          <w:numId w:val="0"/>
        </w:numPr>
        <w:adjustRightInd w:val="0"/>
        <w:snapToGrid w:val="0"/>
        <w:spacing w:line="360" w:lineRule="auto"/>
        <w:jc w:val="both"/>
        <w:textAlignment w:val="baseline"/>
        <w:rPr>
          <w:color w:val="000000" w:themeColor="text1"/>
          <w14:textFill>
            <w14:solidFill>
              <w14:schemeClr w14:val="tx1"/>
            </w14:solidFill>
          </w14:textFill>
        </w:rPr>
      </w:pPr>
    </w:p>
    <w:p w14:paraId="0ED6697C">
      <w:pPr>
        <w:pStyle w:val="9"/>
        <w:numPr>
          <w:ilvl w:val="0"/>
          <w:numId w:val="1"/>
        </w:numPr>
        <w:snapToGrid w:val="0"/>
        <w:spacing w:before="312" w:beforeLines="100" w:after="312" w:afterLines="100" w:line="360" w:lineRule="auto"/>
        <w:ind w:firstLine="640" w:firstLineChars="200"/>
        <w:textAlignment w:val="baseline"/>
        <w:rPr>
          <w:rFonts w:eastAsia="仿宋_GB2312"/>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14:textFill>
            <w14:solidFill>
              <w14:schemeClr w14:val="tx1"/>
            </w14:solidFill>
          </w14:textFill>
        </w:rPr>
        <w:t>雪茄烟专营零售点布局标准</w:t>
      </w:r>
    </w:p>
    <w:p w14:paraId="5CEE5A44">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本章适用于经营范围仅为雪茄烟本店零售的零售点布局管理。</w:t>
      </w:r>
    </w:p>
    <w:p w14:paraId="68AC03CB">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雪茄烟专营零售点数量实行总量控制、动态调整模式，且不受其他烟草制品（含电子烟）零售点距离限制，规划数详见《</w:t>
      </w:r>
      <w:r>
        <w:rPr>
          <w:rFonts w:eastAsia="仿宋_GB2312"/>
          <w:color w:val="000000" w:themeColor="text1"/>
          <w:sz w:val="32"/>
          <w:szCs w:val="32"/>
          <w14:textFill>
            <w14:solidFill>
              <w14:schemeClr w14:val="tx1"/>
            </w14:solidFill>
          </w14:textFill>
        </w:rPr>
        <w:t>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县烟草专卖局</w:t>
      </w:r>
      <w:r>
        <w:rPr>
          <w:rFonts w:hint="eastAsia" w:eastAsia="仿宋_GB2312"/>
          <w:color w:val="000000" w:themeColor="text1"/>
          <w:spacing w:val="10"/>
          <w:sz w:val="32"/>
          <w:szCs w:val="32"/>
          <w14:textFill>
            <w14:solidFill>
              <w14:schemeClr w14:val="tx1"/>
            </w14:solidFill>
          </w14:textFill>
        </w:rPr>
        <w:t>雪茄烟专营零售点合理布局公示表》（附件4）。</w:t>
      </w:r>
    </w:p>
    <w:p w14:paraId="06AB9FA8">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取得雪茄烟本店零售许可的经营主体如需变更烟草专卖零售许可相关事项的，</w:t>
      </w:r>
      <w:r>
        <w:rPr>
          <w:rFonts w:hint="eastAsia" w:eastAsia="仿宋_GB2312"/>
          <w:color w:val="000000" w:themeColor="text1"/>
          <w:spacing w:val="10"/>
          <w:sz w:val="32"/>
          <w:szCs w:val="32"/>
          <w14:textFill>
            <w14:solidFill>
              <w14:schemeClr w14:val="tx1"/>
            </w14:solidFill>
          </w14:textFill>
        </w:rPr>
        <w:t>必须满足本规划及《云南省电子烟零售点布局规划》</w:t>
      </w:r>
      <w:r>
        <w:rPr>
          <w:rFonts w:hint="eastAsia" w:eastAsia="仿宋_GB2312"/>
          <w:color w:val="000000" w:themeColor="text1"/>
          <w:spacing w:val="10"/>
          <w:sz w:val="32"/>
          <w:szCs w:val="32"/>
          <w14:textFill>
            <w14:solidFill>
              <w14:schemeClr w14:val="tx1"/>
            </w14:solidFill>
          </w14:textFill>
        </w:rPr>
        <w:t>相关条件并按照有关规定办理。</w:t>
      </w:r>
    </w:p>
    <w:p w14:paraId="306C269B">
      <w:pPr>
        <w:rPr>
          <w:color w:val="000000" w:themeColor="text1"/>
          <w14:textFill>
            <w14:solidFill>
              <w14:schemeClr w14:val="tx1"/>
            </w14:solidFill>
          </w14:textFill>
        </w:rPr>
      </w:pPr>
    </w:p>
    <w:p w14:paraId="515F7FBA">
      <w:pPr>
        <w:pStyle w:val="9"/>
        <w:numPr>
          <w:ilvl w:val="0"/>
          <w:numId w:val="1"/>
        </w:numPr>
        <w:snapToGrid w:val="0"/>
        <w:spacing w:before="312" w:beforeLines="100" w:after="312" w:afterLines="100" w:line="360" w:lineRule="auto"/>
        <w:ind w:firstLine="640" w:firstLineChars="200"/>
        <w:textAlignment w:val="baseline"/>
        <w:rPr>
          <w:color w:val="000000" w:themeColor="text1"/>
          <w14:textFill>
            <w14:solidFill>
              <w14:schemeClr w14:val="tx1"/>
            </w14:solidFill>
          </w14:textFill>
        </w:rPr>
      </w:pPr>
      <w:r>
        <w:rPr>
          <w:rFonts w:hint="eastAsia" w:ascii="Times New Roman" w:hAnsi="Times New Roman" w:eastAsia="黑体"/>
          <w:color w:val="000000" w:themeColor="text1"/>
          <w:sz w:val="32"/>
          <w:szCs w:val="32"/>
          <w:lang w:val="en-US" w:eastAsia="zh-CN"/>
          <w14:textFill>
            <w14:solidFill>
              <w14:schemeClr w14:val="tx1"/>
            </w14:solidFill>
          </w14:textFill>
        </w:rPr>
        <w:t>放宽及限制情形</w:t>
      </w:r>
    </w:p>
    <w:p w14:paraId="4DA8A01D">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具有下列情形之一的，不予</w:t>
      </w:r>
      <w:r>
        <w:rPr>
          <w:rFonts w:hint="eastAsia" w:eastAsia="仿宋_GB2312"/>
          <w:color w:val="000000" w:themeColor="text1"/>
          <w:spacing w:val="10"/>
          <w:sz w:val="32"/>
          <w:szCs w:val="32"/>
          <w:lang w:val="en-US" w:eastAsia="zh-CN"/>
          <w14:textFill>
            <w14:solidFill>
              <w14:schemeClr w14:val="tx1"/>
            </w14:solidFill>
          </w14:textFill>
        </w:rPr>
        <w:t>发放烟草专卖零售许可证：</w:t>
      </w:r>
    </w:p>
    <w:p w14:paraId="4D85996A">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（一）申请人为无民事行为能力人或者限制民事行为能力人的</w:t>
      </w:r>
      <w:r>
        <w:rPr>
          <w:rFonts w:hint="eastAsia" w:eastAsia="仿宋_GB2312"/>
          <w:color w:val="000000" w:themeColor="text1"/>
          <w:sz w:val="32"/>
          <w:szCs w:val="32"/>
          <w:lang w:eastAsia="zh-CN"/>
          <w14:textFill>
            <w14:solidFill>
              <w14:schemeClr w14:val="tx1"/>
            </w14:solidFill>
          </w14:textFill>
        </w:rPr>
        <w:t>；</w:t>
      </w:r>
    </w:p>
    <w:p w14:paraId="4497325E">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（二）申请人隐瞒有关情况或提供虚假材料的；因隐瞒有关情况或者提供虚假材料，烟草专卖局作出不予受理或者不予发证决定后，申请人一年内再次提出申请的</w:t>
      </w:r>
      <w:r>
        <w:rPr>
          <w:rFonts w:hint="eastAsia" w:eastAsia="仿宋_GB2312"/>
          <w:color w:val="000000" w:themeColor="text1"/>
          <w:sz w:val="32"/>
          <w:szCs w:val="32"/>
          <w:lang w:eastAsia="zh-CN"/>
          <w14:textFill>
            <w14:solidFill>
              <w14:schemeClr w14:val="tx1"/>
            </w14:solidFill>
          </w14:textFill>
        </w:rPr>
        <w:t>；</w:t>
      </w:r>
    </w:p>
    <w:p w14:paraId="4BC30B61">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三）被取消从事烟草专卖业务资格不满三年的；未领取烟草专卖零售许可证经营烟草专卖品业务，并且一年内被执法机关处罚两次以上，在三年内申请领取烟草专卖零售许可证的；因未领取烟草专卖零售许可证经营烟草专卖品业务被追究刑事责任，在三年内申请领取烟草专卖零售许可证的</w:t>
      </w:r>
      <w:r>
        <w:rPr>
          <w:rFonts w:hint="eastAsia" w:eastAsia="仿宋_GB2312"/>
          <w:color w:val="000000" w:themeColor="text1"/>
          <w:sz w:val="32"/>
          <w:szCs w:val="32"/>
          <w:lang w:eastAsia="zh-CN"/>
          <w14:textFill>
            <w14:solidFill>
              <w14:schemeClr w14:val="tx1"/>
            </w14:solidFill>
          </w14:textFill>
        </w:rPr>
        <w:t>；</w:t>
      </w:r>
    </w:p>
    <w:p w14:paraId="65641000">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（四）外商投资的商业企业或者个体工商户，但有外资成分以提供住宿、餐饮、休闲、娱乐为主要经营的宾馆、酒店等属</w:t>
      </w:r>
      <w:r>
        <w:rPr>
          <w:rFonts w:hint="eastAsia" w:eastAsia="仿宋_GB2312"/>
          <w:color w:val="000000" w:themeColor="text1"/>
          <w:sz w:val="32"/>
          <w:szCs w:val="32"/>
          <w14:textFill>
            <w14:solidFill>
              <w14:schemeClr w14:val="tx1"/>
            </w14:solidFill>
          </w14:textFill>
        </w:rPr>
        <w:t>于娱乐服务类的企业除外</w:t>
      </w:r>
      <w:r>
        <w:rPr>
          <w:rFonts w:hint="eastAsia" w:eastAsia="仿宋_GB2312"/>
          <w:color w:val="000000" w:themeColor="text1"/>
          <w:sz w:val="32"/>
          <w:szCs w:val="32"/>
          <w:lang w:eastAsia="zh-CN"/>
          <w14:textFill>
            <w14:solidFill>
              <w14:schemeClr w14:val="tx1"/>
            </w14:solidFill>
          </w14:textFill>
        </w:rPr>
        <w:t>；</w:t>
      </w:r>
    </w:p>
    <w:p w14:paraId="5AFE6C2C">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（五）无固定经营场所的：包括但不限于流动的摊、点、车、棚、简易板房、活动板房（彩钢房）、临时占道的建筑等；</w:t>
      </w:r>
    </w:p>
    <w:p w14:paraId="2D1552EB">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（六）经营场所与住所不相独立的：包括但不限于经营场所为</w:t>
      </w:r>
      <w:r>
        <w:rPr>
          <w:rFonts w:hint="eastAsia" w:eastAsia="仿宋_GB2312"/>
          <w:color w:val="000000" w:themeColor="text1"/>
          <w:sz w:val="32"/>
          <w:szCs w:val="32"/>
          <w:lang w:val="en-US" w:eastAsia="zh-CN"/>
          <w14:textFill>
            <w14:solidFill>
              <w14:schemeClr w14:val="tx1"/>
            </w14:solidFill>
          </w14:textFill>
        </w:rPr>
        <w:t>与</w:t>
      </w:r>
      <w:r>
        <w:rPr>
          <w:rFonts w:hint="eastAsia" w:eastAsia="仿宋_GB2312"/>
          <w:color w:val="000000" w:themeColor="text1"/>
          <w:sz w:val="32"/>
          <w:szCs w:val="32"/>
          <w14:textFill>
            <w14:solidFill>
              <w14:schemeClr w14:val="tx1"/>
            </w14:solidFill>
          </w14:textFill>
        </w:rPr>
        <w:t>住所</w:t>
      </w:r>
      <w:r>
        <w:rPr>
          <w:rFonts w:hint="eastAsia" w:eastAsia="仿宋_GB2312"/>
          <w:color w:val="000000" w:themeColor="text1"/>
          <w:sz w:val="32"/>
          <w:szCs w:val="32"/>
          <w:lang w:val="en-US" w:eastAsia="zh-CN"/>
          <w14:textFill>
            <w14:solidFill>
              <w14:schemeClr w14:val="tx1"/>
            </w14:solidFill>
          </w14:textFill>
        </w:rPr>
        <w:t>可连通通行</w:t>
      </w:r>
      <w:r>
        <w:rPr>
          <w:rFonts w:hint="eastAsia" w:eastAsia="仿宋_GB2312"/>
          <w:color w:val="000000" w:themeColor="text1"/>
          <w:sz w:val="32"/>
          <w:szCs w:val="32"/>
          <w14:textFill>
            <w14:solidFill>
              <w14:schemeClr w14:val="tx1"/>
            </w14:solidFill>
          </w14:textFill>
        </w:rPr>
        <w:t>的客厅、餐厅、卧室、阳台、地下室、车库、储藏室等或居民楼内公用</w:t>
      </w:r>
      <w:r>
        <w:rPr>
          <w:rFonts w:hint="eastAsia" w:eastAsia="仿宋_GB2312"/>
          <w:color w:val="000000" w:themeColor="text1"/>
          <w:sz w:val="32"/>
          <w:szCs w:val="32"/>
          <w:lang w:val="en-US" w:eastAsia="zh-CN"/>
          <w14:textFill>
            <w14:solidFill>
              <w14:schemeClr w14:val="tx1"/>
            </w14:solidFill>
          </w14:textFill>
        </w:rPr>
        <w:t>通</w:t>
      </w:r>
      <w:r>
        <w:rPr>
          <w:rFonts w:hint="eastAsia" w:eastAsia="仿宋_GB2312"/>
          <w:color w:val="000000" w:themeColor="text1"/>
          <w:sz w:val="32"/>
          <w:szCs w:val="32"/>
          <w14:textFill>
            <w14:solidFill>
              <w14:schemeClr w14:val="tx1"/>
            </w14:solidFill>
          </w14:textFill>
        </w:rPr>
        <w:t>道、楼梯间等；</w:t>
      </w:r>
    </w:p>
    <w:p w14:paraId="30C93C0E">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七</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经营场所已经办理了仍在有效期内的烟草专卖零售许可证的</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经营场所位于党政机关内部的</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经营场所基于安全因素不适宜经营卷烟的</w:t>
      </w:r>
      <w:r>
        <w:rPr>
          <w:rFonts w:hint="eastAsia" w:eastAsia="仿宋_GB2312"/>
          <w:color w:val="000000" w:themeColor="text1"/>
          <w:sz w:val="32"/>
          <w:szCs w:val="32"/>
          <w:lang w:eastAsia="zh-CN"/>
          <w14:textFill>
            <w14:solidFill>
              <w14:schemeClr w14:val="tx1"/>
            </w14:solidFill>
          </w14:textFill>
        </w:rPr>
        <w:t>；</w:t>
      </w:r>
    </w:p>
    <w:p w14:paraId="52AEB324">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val="en-US"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八</w:t>
      </w:r>
      <w:r>
        <w:rPr>
          <w:rFonts w:hint="eastAsia"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澧江街道、红河街道中小学、幼儿园学生正常出入的校门口（含通道）50米以内，其余乡镇（街道）及乡镇（街道）以下区域中小学、幼儿园学生正常出入的校门口（含通道）30米以内；</w:t>
      </w:r>
    </w:p>
    <w:p w14:paraId="369FBCBE">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w:t>
      </w:r>
      <w:r>
        <w:rPr>
          <w:rFonts w:hint="eastAsia" w:eastAsia="仿宋_GB2312"/>
          <w:color w:val="000000" w:themeColor="text1"/>
          <w:sz w:val="32"/>
          <w:szCs w:val="32"/>
          <w:lang w:val="en-US" w:eastAsia="zh-CN"/>
          <w14:textFill>
            <w14:solidFill>
              <w14:schemeClr w14:val="tx1"/>
            </w14:solidFill>
          </w14:textFill>
        </w:rPr>
        <w:t>九</w:t>
      </w:r>
      <w:r>
        <w:rPr>
          <w:rFonts w:hint="eastAsia" w:eastAsia="仿宋_GB2312"/>
          <w:color w:val="000000" w:themeColor="text1"/>
          <w:sz w:val="32"/>
          <w:szCs w:val="32"/>
          <w14:textFill>
            <w14:solidFill>
              <w14:schemeClr w14:val="tx1"/>
            </w14:solidFill>
          </w14:textFill>
        </w:rPr>
        <w:t>）利用自动售货机或者其他自动售货形式，销售或者变相</w:t>
      </w:r>
      <w:r>
        <w:rPr>
          <w:rFonts w:hint="eastAsia" w:eastAsia="仿宋_GB2312"/>
          <w:color w:val="000000" w:themeColor="text1"/>
          <w:sz w:val="32"/>
          <w:szCs w:val="32"/>
          <w14:textFill>
            <w14:solidFill>
              <w14:schemeClr w14:val="tx1"/>
            </w14:solidFill>
          </w14:textFill>
        </w:rPr>
        <w:t>销售烟草制品的，或者通过信息网络销售烟草专卖品的</w:t>
      </w:r>
      <w:r>
        <w:rPr>
          <w:rFonts w:hint="eastAsia" w:eastAsia="仿宋_GB2312"/>
          <w:color w:val="000000" w:themeColor="text1"/>
          <w:sz w:val="32"/>
          <w:szCs w:val="32"/>
          <w:lang w:eastAsia="zh-CN"/>
          <w14:textFill>
            <w14:solidFill>
              <w14:schemeClr w14:val="tx1"/>
            </w14:solidFill>
          </w14:textFill>
        </w:rPr>
        <w:t>；</w:t>
      </w:r>
    </w:p>
    <w:p w14:paraId="6E924C7E">
      <w:pPr>
        <w:numPr>
          <w:ilvl w:val="0"/>
          <w:numId w:val="0"/>
        </w:numPr>
        <w:adjustRightInd w:val="0"/>
        <w:snapToGrid w:val="0"/>
        <w:spacing w:line="360" w:lineRule="auto"/>
        <w:ind w:firstLine="640" w:firstLineChars="200"/>
        <w:textAlignment w:val="baseline"/>
        <w:rPr>
          <w:rFonts w:hint="eastAsia" w:eastAsia="宋体"/>
          <w:color w:val="000000" w:themeColor="text1"/>
          <w:sz w:val="32"/>
          <w:szCs w:val="32"/>
          <w:lang w:eastAsia="zh-CN"/>
          <w14:textFill>
            <w14:solidFill>
              <w14:schemeClr w14:val="tx1"/>
            </w14:solidFill>
          </w14:textFill>
        </w:rPr>
      </w:pPr>
      <w:r>
        <w:rPr>
          <w:rFonts w:hint="eastAsia" w:eastAsia="仿宋_GB2312"/>
          <w:color w:val="000000" w:themeColor="text1"/>
          <w:sz w:val="32"/>
          <w:szCs w:val="32"/>
          <w14:textFill>
            <w14:solidFill>
              <w14:schemeClr w14:val="tx1"/>
            </w14:solidFill>
          </w14:textFill>
        </w:rPr>
        <w:t>（十）</w:t>
      </w:r>
      <w:r>
        <w:rPr>
          <w:rFonts w:hint="eastAsia" w:ascii="仿宋_GB2312" w:hAnsi="仿宋_GB2312" w:eastAsia="仿宋_GB2312" w:cs="仿宋_GB2312"/>
          <w:color w:val="000000" w:themeColor="text1"/>
          <w:sz w:val="32"/>
          <w:szCs w:val="32"/>
          <w14:textFill>
            <w14:solidFill>
              <w14:schemeClr w14:val="tx1"/>
            </w14:solidFill>
          </w14:textFill>
        </w:rPr>
        <w:t>经营业态存在容易诱导未成年人关注、购买、吸食卷烟或其他不利于未成年人保护的</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经营业态</w:t>
      </w:r>
      <w:r>
        <w:rPr>
          <w:rFonts w:hint="eastAsia" w:eastAsia="仿宋_GB2312"/>
          <w:color w:val="000000" w:themeColor="text1"/>
          <w:sz w:val="32"/>
          <w:szCs w:val="32"/>
          <w:lang w:eastAsia="zh-CN"/>
          <w14:textFill>
            <w14:solidFill>
              <w14:schemeClr w14:val="tx1"/>
            </w14:solidFill>
          </w14:textFill>
        </w:rPr>
        <w:t>专业性较强，且与烟草制品零售业务没有直接或间接互补营销关系的；</w:t>
      </w:r>
    </w:p>
    <w:p w14:paraId="40A6DD68">
      <w:pPr>
        <w:numPr>
          <w:ilvl w:val="0"/>
          <w:numId w:val="0"/>
        </w:numPr>
        <w:adjustRightInd w:val="0"/>
        <w:snapToGrid w:val="0"/>
        <w:spacing w:line="360" w:lineRule="auto"/>
        <w:ind w:firstLine="640" w:firstLineChars="200"/>
        <w:textAlignment w:val="baseline"/>
        <w:rPr>
          <w:rFonts w:hint="eastAsia"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（十</w:t>
      </w:r>
      <w:r>
        <w:rPr>
          <w:rFonts w:hint="eastAsia" w:eastAsia="仿宋_GB2312"/>
          <w:color w:val="000000" w:themeColor="text1"/>
          <w:sz w:val="32"/>
          <w:szCs w:val="32"/>
          <w:lang w:val="en-US" w:eastAsia="zh-CN"/>
          <w14:textFill>
            <w14:solidFill>
              <w14:schemeClr w14:val="tx1"/>
            </w14:solidFill>
          </w14:textFill>
        </w:rPr>
        <w:t>一</w:t>
      </w:r>
      <w:r>
        <w:rPr>
          <w:rFonts w:hint="eastAsia" w:eastAsia="仿宋_GB2312"/>
          <w:color w:val="000000" w:themeColor="text1"/>
          <w:sz w:val="32"/>
          <w:szCs w:val="32"/>
          <w14:textFill>
            <w14:solidFill>
              <w14:schemeClr w14:val="tx1"/>
            </w14:solidFill>
          </w14:textFill>
        </w:rPr>
        <w:t>）法律、法规、规章、规范性文件等规定的其他不予许可的情形。</w:t>
      </w:r>
    </w:p>
    <w:p w14:paraId="230288A1">
      <w:pPr>
        <w:numPr>
          <w:ilvl w:val="2"/>
          <w:numId w:val="2"/>
        </w:numPr>
        <w:adjustRightInd w:val="0"/>
        <w:snapToGrid w:val="0"/>
        <w:spacing w:line="360" w:lineRule="auto"/>
        <w:ind w:left="-50" w:leftChars="0" w:firstLine="680" w:firstLineChars="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优抚对象、社会弱势群体等特殊群体申请烟草专卖零售许可证的，受所在单元网格规划数限制，零售点间距可放宽至本单元网格间距标准的</w:t>
      </w:r>
      <w:r>
        <w:rPr>
          <w:rFonts w:hint="eastAsia" w:eastAsia="仿宋_GB2312"/>
          <w:color w:val="000000" w:themeColor="text1"/>
          <w:spacing w:val="10"/>
          <w:sz w:val="32"/>
          <w:szCs w:val="32"/>
          <w:lang w:val="en-US" w:eastAsia="zh-CN"/>
          <w14:textFill>
            <w14:solidFill>
              <w14:schemeClr w14:val="tx1"/>
            </w14:solidFill>
          </w14:textFill>
        </w:rPr>
        <w:t>80%</w:t>
      </w:r>
      <w:r>
        <w:rPr>
          <w:rFonts w:hint="eastAsia" w:eastAsia="仿宋_GB2312"/>
          <w:color w:val="000000" w:themeColor="text1"/>
          <w:spacing w:val="10"/>
          <w:sz w:val="32"/>
          <w:szCs w:val="32"/>
          <w14:textFill>
            <w14:solidFill>
              <w14:schemeClr w14:val="tx1"/>
            </w14:solidFill>
          </w14:textFill>
        </w:rPr>
        <w:t>执行。本规定政</w:t>
      </w:r>
      <w:r>
        <w:rPr>
          <w:rFonts w:hint="eastAsia" w:eastAsia="仿宋_GB2312"/>
          <w:color w:val="000000" w:themeColor="text1"/>
          <w:spacing w:val="10"/>
          <w:sz w:val="32"/>
          <w:szCs w:val="32"/>
          <w14:textFill>
            <w14:solidFill>
              <w14:schemeClr w14:val="tx1"/>
            </w14:solidFill>
          </w14:textFill>
        </w:rPr>
        <w:t>策，同一特殊群体申请人在云南省内仅适用一次。</w:t>
      </w:r>
    </w:p>
    <w:p w14:paraId="35E767D1">
      <w:pPr>
        <w:numPr>
          <w:ilvl w:val="0"/>
          <w:numId w:val="0"/>
        </w:numPr>
        <w:adjustRightInd w:val="0"/>
        <w:snapToGrid w:val="0"/>
        <w:spacing w:line="360" w:lineRule="auto"/>
        <w:ind w:left="630" w:leftChars="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本条所称优抚对象、社会弱势群体是指：</w:t>
      </w:r>
    </w:p>
    <w:p w14:paraId="37B3600C">
      <w:pPr>
        <w:pStyle w:val="10"/>
        <w:keepNext w:val="0"/>
        <w:keepLines w:val="0"/>
        <w:widowControl/>
        <w:suppressLineNumbers w:val="0"/>
        <w:ind w:firstLine="680" w:firstLineChars="200"/>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一</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烈士家属、因公牺牲军人家属；见义勇为牺牲人员家属</w:t>
      </w:r>
      <w:r>
        <w:rPr>
          <w:rFonts w:hint="eastAsia" w:eastAsia="仿宋_GB2312"/>
          <w:color w:val="000000" w:themeColor="text1"/>
          <w:spacing w:val="10"/>
          <w:sz w:val="32"/>
          <w:szCs w:val="32"/>
          <w:lang w:eastAsia="zh-CN"/>
          <w14:textFill>
            <w14:solidFill>
              <w14:schemeClr w14:val="tx1"/>
            </w14:solidFill>
          </w14:textFill>
        </w:rPr>
        <w:t>；</w:t>
      </w:r>
      <w:r>
        <w:rPr>
          <w:rFonts w:ascii="仿宋_GB2312" w:eastAsia="仿宋_GB2312" w:cs="仿宋_GB2312"/>
          <w:color w:val="000000" w:themeColor="text1"/>
          <w:sz w:val="31"/>
          <w:szCs w:val="31"/>
          <w14:textFill>
            <w14:solidFill>
              <w14:schemeClr w14:val="tx1"/>
            </w14:solidFill>
          </w14:textFill>
        </w:rPr>
        <w:t>病故军人遗属</w:t>
      </w:r>
      <w:r>
        <w:rPr>
          <w:rFonts w:hint="eastAsia" w:eastAsia="仿宋_GB2312"/>
          <w:color w:val="000000" w:themeColor="text1"/>
          <w:spacing w:val="10"/>
          <w:sz w:val="32"/>
          <w:szCs w:val="32"/>
          <w14:textFill>
            <w14:solidFill>
              <w14:schemeClr w14:val="tx1"/>
            </w14:solidFill>
          </w14:textFill>
        </w:rPr>
        <w:t>。（本条中的家属包括父母、子女、配偶。）</w:t>
      </w:r>
    </w:p>
    <w:p w14:paraId="73F6FE57">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二</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符合以下条件之一，</w:t>
      </w:r>
      <w:r>
        <w:rPr>
          <w:rFonts w:hint="eastAsia" w:eastAsia="仿宋_GB2312"/>
          <w:color w:val="000000" w:themeColor="text1"/>
          <w:spacing w:val="10"/>
          <w:sz w:val="32"/>
          <w:szCs w:val="32"/>
          <w14:textFill>
            <w14:solidFill>
              <w14:schemeClr w14:val="tx1"/>
            </w14:solidFill>
          </w14:textFill>
        </w:rPr>
        <w:t>具有从事烟草专卖零售经营业务相应能力，且具有完全民事行为能力的残疾人：</w:t>
      </w:r>
    </w:p>
    <w:p w14:paraId="14C0EED9">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（二）符合以下条件之一，具有从事烟草专卖零售经营业务相应能力，且具有完全民事行为能力的残疾人：</w:t>
      </w:r>
    </w:p>
    <w:p w14:paraId="46406943">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视力残疾：一级、二级</w:t>
      </w:r>
    </w:p>
    <w:p w14:paraId="44522881">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听力残疾：一级、二级；</w:t>
      </w:r>
    </w:p>
    <w:p w14:paraId="488BA814">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言语残疾：一级、二级；</w:t>
      </w:r>
    </w:p>
    <w:p w14:paraId="272FA3D7">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肢体残疾：一级、二级。</w:t>
      </w:r>
    </w:p>
    <w:p w14:paraId="6E7873C3">
      <w:pPr>
        <w:numPr>
          <w:ilvl w:val="-1"/>
          <w:numId w:val="0"/>
        </w:numPr>
        <w:adjustRightInd w:val="0"/>
        <w:snapToGrid w:val="0"/>
        <w:spacing w:line="360" w:lineRule="auto"/>
        <w:ind w:leftChars="0" w:firstLine="680" w:firstLineChars="200"/>
        <w:jc w:val="both"/>
        <w:textAlignment w:val="baseline"/>
        <w:rPr>
          <w:rFonts w:hint="eastAsia"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三</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国家明文给予政策扶持，确实具有需要扶持照顾的</w:t>
      </w:r>
      <w:r>
        <w:rPr>
          <w:rFonts w:hint="eastAsia" w:eastAsia="仿宋_GB2312"/>
          <w:color w:val="000000" w:themeColor="text1"/>
          <w:spacing w:val="10"/>
          <w:sz w:val="32"/>
          <w:szCs w:val="32"/>
          <w:lang w:val="en-US" w:eastAsia="zh-CN"/>
          <w14:textFill>
            <w14:solidFill>
              <w14:schemeClr w14:val="tx1"/>
            </w14:solidFill>
          </w14:textFill>
        </w:rPr>
        <w:t>其他</w:t>
      </w:r>
      <w:r>
        <w:rPr>
          <w:rFonts w:hint="eastAsia" w:eastAsia="仿宋_GB2312"/>
          <w:color w:val="000000" w:themeColor="text1"/>
          <w:spacing w:val="10"/>
          <w:sz w:val="32"/>
          <w:szCs w:val="32"/>
          <w14:textFill>
            <w14:solidFill>
              <w14:schemeClr w14:val="tx1"/>
            </w14:solidFill>
          </w14:textFill>
        </w:rPr>
        <w:t>特殊情况的优抚对象，经</w:t>
      </w:r>
      <w:r>
        <w:rPr>
          <w:rFonts w:hint="eastAsia" w:eastAsia="仿宋_GB2312"/>
          <w:color w:val="000000" w:themeColor="text1"/>
          <w:spacing w:val="10"/>
          <w:sz w:val="32"/>
          <w:szCs w:val="32"/>
          <w:lang w:val="en-US" w:eastAsia="zh-CN"/>
          <w14:textFill>
            <w14:solidFill>
              <w14:schemeClr w14:val="tx1"/>
            </w14:solidFill>
          </w14:textFill>
        </w:rPr>
        <w:t>元江县</w:t>
      </w:r>
      <w:r>
        <w:rPr>
          <w:rFonts w:hint="eastAsia" w:eastAsia="仿宋_GB2312"/>
          <w:color w:val="000000" w:themeColor="text1"/>
          <w:spacing w:val="10"/>
          <w:sz w:val="32"/>
          <w:szCs w:val="32"/>
          <w14:textFill>
            <w14:solidFill>
              <w14:schemeClr w14:val="tx1"/>
            </w14:solidFill>
          </w14:textFill>
        </w:rPr>
        <w:t>烟草专卖局集体研究并向</w:t>
      </w:r>
      <w:r>
        <w:rPr>
          <w:rFonts w:hint="eastAsia" w:eastAsia="仿宋_GB2312"/>
          <w:color w:val="000000" w:themeColor="text1"/>
          <w:spacing w:val="10"/>
          <w:sz w:val="32"/>
          <w:szCs w:val="32"/>
          <w:lang w:val="en-US" w:eastAsia="zh-CN"/>
          <w14:textFill>
            <w14:solidFill>
              <w14:schemeClr w14:val="tx1"/>
            </w14:solidFill>
          </w14:textFill>
        </w:rPr>
        <w:t>玉溪市</w:t>
      </w:r>
      <w:r>
        <w:rPr>
          <w:rFonts w:hint="eastAsia" w:eastAsia="仿宋_GB2312"/>
          <w:color w:val="000000" w:themeColor="text1"/>
          <w:spacing w:val="10"/>
          <w:sz w:val="32"/>
          <w:szCs w:val="32"/>
          <w14:textFill>
            <w14:solidFill>
              <w14:schemeClr w14:val="tx1"/>
            </w14:solidFill>
          </w14:textFill>
        </w:rPr>
        <w:t>烟草专卖局报备，可以放宽办证条件。申请人应提交合法有效的证明文件。</w:t>
      </w:r>
    </w:p>
    <w:p w14:paraId="5AE47172">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3"/>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因道路规划、城市建设等客观原因，造成持证人无法在原核定地址经营之日起三十日内，持证人申请变更到本单元网格内新址经营的</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不受所在单元网格规划数限制，</w:t>
      </w:r>
      <w:r>
        <w:rPr>
          <w:rFonts w:eastAsia="仿宋_GB2312"/>
          <w:color w:val="000000" w:themeColor="text1"/>
          <w:spacing w:val="10"/>
          <w:sz w:val="32"/>
          <w:szCs w:val="32"/>
          <w14:textFill>
            <w14:solidFill>
              <w14:schemeClr w14:val="tx1"/>
            </w14:solidFill>
          </w14:textFill>
        </w:rPr>
        <w:t>零售点间距可放宽至本单元网格间距标准的</w:t>
      </w:r>
      <w:r>
        <w:rPr>
          <w:rFonts w:hint="eastAsia" w:eastAsia="仿宋_GB2312"/>
          <w:color w:val="000000" w:themeColor="text1"/>
          <w:spacing w:val="10"/>
          <w:sz w:val="32"/>
          <w:szCs w:val="32"/>
          <w:lang w:val="en-US" w:eastAsia="zh-CN"/>
          <w14:textFill>
            <w14:solidFill>
              <w14:schemeClr w14:val="tx1"/>
            </w14:solidFill>
          </w14:textFill>
        </w:rPr>
        <w:t>40%</w:t>
      </w:r>
      <w:r>
        <w:rPr>
          <w:rFonts w:eastAsia="仿宋_GB2312"/>
          <w:color w:val="000000" w:themeColor="text1"/>
          <w:spacing w:val="10"/>
          <w:sz w:val="32"/>
          <w:szCs w:val="32"/>
          <w14:textFill>
            <w14:solidFill>
              <w14:schemeClr w14:val="tx1"/>
            </w14:solidFill>
          </w14:textFill>
        </w:rPr>
        <w:t>执行。</w:t>
      </w:r>
    </w:p>
    <w:p w14:paraId="560DBCF4">
      <w:pPr>
        <w:adjustRightInd w:val="0"/>
        <w:snapToGrid w:val="0"/>
        <w:spacing w:line="360" w:lineRule="auto"/>
        <w:ind w:firstLine="620" w:firstLineChars="200"/>
        <w:jc w:val="both"/>
        <w:textAlignment w:val="baseline"/>
        <w:rPr>
          <w:rFonts w:eastAsia="仿宋_GB2312"/>
          <w:color w:val="000000" w:themeColor="text1"/>
          <w:spacing w:val="-3"/>
          <w:sz w:val="32"/>
          <w:szCs w:val="32"/>
          <w14:textFill>
            <w14:solidFill>
              <w14:schemeClr w14:val="tx1"/>
            </w14:solidFill>
          </w14:textFill>
        </w:rPr>
      </w:pPr>
      <w:r>
        <w:rPr>
          <w:rFonts w:eastAsia="仿宋_GB2312"/>
          <w:color w:val="000000" w:themeColor="text1"/>
          <w:spacing w:val="-5"/>
          <w:sz w:val="32"/>
          <w:szCs w:val="32"/>
          <w14:textFill>
            <w14:solidFill>
              <w14:schemeClr w14:val="tx1"/>
            </w14:solidFill>
          </w14:textFill>
        </w:rPr>
        <w:t>申请</w:t>
      </w:r>
      <w:r>
        <w:rPr>
          <w:rFonts w:eastAsia="仿宋_GB2312"/>
          <w:color w:val="000000" w:themeColor="text1"/>
          <w:spacing w:val="10"/>
          <w:sz w:val="32"/>
          <w:szCs w:val="32"/>
          <w14:textFill>
            <w14:solidFill>
              <w14:schemeClr w14:val="tx1"/>
            </w14:solidFill>
          </w14:textFill>
        </w:rPr>
        <w:t>变更到</w:t>
      </w:r>
      <w:r>
        <w:rPr>
          <w:rFonts w:hint="eastAsia" w:eastAsia="仿宋_GB2312"/>
          <w:color w:val="000000" w:themeColor="text1"/>
          <w:spacing w:val="10"/>
          <w:sz w:val="32"/>
          <w:szCs w:val="32"/>
          <w:lang w:val="en-US" w:eastAsia="zh-CN"/>
          <w14:textFill>
            <w14:solidFill>
              <w14:schemeClr w14:val="tx1"/>
            </w14:solidFill>
          </w14:textFill>
        </w:rPr>
        <w:t>元江</w:t>
      </w:r>
      <w:r>
        <w:rPr>
          <w:rFonts w:eastAsia="仿宋_GB2312"/>
          <w:color w:val="000000" w:themeColor="text1"/>
          <w:spacing w:val="10"/>
          <w:sz w:val="32"/>
          <w:szCs w:val="32"/>
          <w14:textFill>
            <w14:solidFill>
              <w14:schemeClr w14:val="tx1"/>
            </w14:solidFill>
          </w14:textFill>
        </w:rPr>
        <w:t>县其他单元网格的，受所在单元网格规划数限制，零售点间距可放宽至</w:t>
      </w:r>
      <w:r>
        <w:rPr>
          <w:rFonts w:hint="eastAsia" w:eastAsia="仿宋_GB2312"/>
          <w:color w:val="000000" w:themeColor="text1"/>
          <w:spacing w:val="10"/>
          <w:sz w:val="32"/>
          <w:szCs w:val="32"/>
          <w:lang w:val="en-US" w:eastAsia="zh-CN"/>
          <w14:textFill>
            <w14:solidFill>
              <w14:schemeClr w14:val="tx1"/>
            </w14:solidFill>
          </w14:textFill>
        </w:rPr>
        <w:t>本</w:t>
      </w:r>
      <w:r>
        <w:rPr>
          <w:rFonts w:eastAsia="仿宋_GB2312"/>
          <w:color w:val="000000" w:themeColor="text1"/>
          <w:spacing w:val="10"/>
          <w:sz w:val="32"/>
          <w:szCs w:val="32"/>
          <w14:textFill>
            <w14:solidFill>
              <w14:schemeClr w14:val="tx1"/>
            </w14:solidFill>
          </w14:textFill>
        </w:rPr>
        <w:t>单元</w:t>
      </w:r>
      <w:r>
        <w:rPr>
          <w:rFonts w:eastAsia="仿宋_GB2312"/>
          <w:color w:val="000000" w:themeColor="text1"/>
          <w:spacing w:val="10"/>
          <w:sz w:val="32"/>
          <w:szCs w:val="32"/>
          <w14:textFill>
            <w14:solidFill>
              <w14:schemeClr w14:val="tx1"/>
            </w14:solidFill>
          </w14:textFill>
        </w:rPr>
        <w:t>网格间距标准的</w:t>
      </w:r>
      <w:r>
        <w:rPr>
          <w:rFonts w:hint="eastAsia" w:eastAsia="仿宋_GB2312"/>
          <w:color w:val="000000" w:themeColor="text1"/>
          <w:spacing w:val="10"/>
          <w:sz w:val="32"/>
          <w:szCs w:val="32"/>
          <w:lang w:val="en-US" w:eastAsia="zh-CN"/>
          <w14:textFill>
            <w14:solidFill>
              <w14:schemeClr w14:val="tx1"/>
            </w14:solidFill>
          </w14:textFill>
        </w:rPr>
        <w:t>80%</w:t>
      </w:r>
      <w:r>
        <w:rPr>
          <w:rFonts w:eastAsia="仿宋_GB2312"/>
          <w:color w:val="000000" w:themeColor="text1"/>
          <w:spacing w:val="10"/>
          <w:sz w:val="32"/>
          <w:szCs w:val="32"/>
          <w14:textFill>
            <w14:solidFill>
              <w14:schemeClr w14:val="tx1"/>
            </w14:solidFill>
          </w14:textFill>
        </w:rPr>
        <w:t>执行。</w:t>
      </w:r>
    </w:p>
    <w:p w14:paraId="6AB8F247">
      <w:pPr>
        <w:numPr>
          <w:ilvl w:val="2"/>
          <w:numId w:val="2"/>
        </w:numPr>
        <w:adjustRightInd w:val="0"/>
        <w:snapToGrid w:val="0"/>
        <w:spacing w:line="360" w:lineRule="auto"/>
        <w:ind w:left="-50" w:leftChars="0" w:firstLine="680" w:firstLineChars="0"/>
        <w:jc w:val="both"/>
        <w:textAlignment w:val="baseline"/>
        <w:rPr>
          <w:rFonts w:eastAsia="仿宋_GB2312"/>
          <w:color w:val="000000" w:themeColor="text1"/>
          <w:spacing w:val="-3"/>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因中小学及幼儿园新建、改扩建等客观原因，造成持证人无法在原核定地址经营之日起三十日内，持证人申请歇业</w:t>
      </w:r>
      <w:r>
        <w:rPr>
          <w:rFonts w:hint="eastAsia" w:eastAsia="仿宋_GB2312"/>
          <w:color w:val="000000" w:themeColor="text1"/>
          <w:spacing w:val="10"/>
          <w:sz w:val="32"/>
          <w:szCs w:val="32"/>
          <w14:textFill>
            <w14:solidFill>
              <w14:schemeClr w14:val="tx1"/>
            </w14:solidFill>
          </w14:textFill>
        </w:rPr>
        <w:t>并在原</w:t>
      </w:r>
      <w:r>
        <w:rPr>
          <w:rFonts w:eastAsia="仿宋_GB2312"/>
          <w:color w:val="000000" w:themeColor="text1"/>
          <w:spacing w:val="10"/>
          <w:sz w:val="32"/>
          <w:szCs w:val="32"/>
          <w14:textFill>
            <w14:solidFill>
              <w14:schemeClr w14:val="tx1"/>
            </w14:solidFill>
          </w14:textFill>
        </w:rPr>
        <w:t>单元网格内新址</w:t>
      </w:r>
      <w:r>
        <w:rPr>
          <w:rFonts w:hint="eastAsia" w:eastAsia="仿宋_GB2312"/>
          <w:color w:val="000000" w:themeColor="text1"/>
          <w:spacing w:val="10"/>
          <w:sz w:val="32"/>
          <w:szCs w:val="32"/>
          <w14:textFill>
            <w14:solidFill>
              <w14:schemeClr w14:val="tx1"/>
            </w14:solidFill>
          </w14:textFill>
        </w:rPr>
        <w:t>申请新办</w:t>
      </w:r>
      <w:r>
        <w:rPr>
          <w:rFonts w:eastAsia="仿宋_GB2312"/>
          <w:color w:val="000000" w:themeColor="text1"/>
          <w:spacing w:val="10"/>
          <w:sz w:val="32"/>
          <w:szCs w:val="32"/>
          <w14:textFill>
            <w14:solidFill>
              <w14:schemeClr w14:val="tx1"/>
            </w14:solidFill>
          </w14:textFill>
        </w:rPr>
        <w:t>的</w:t>
      </w:r>
      <w:r>
        <w:rPr>
          <w:rFonts w:hint="eastAsia" w:eastAsia="仿宋_GB2312"/>
          <w:color w:val="000000" w:themeColor="text1"/>
          <w:spacing w:val="10"/>
          <w:sz w:val="32"/>
          <w:szCs w:val="32"/>
          <w:lang w:eastAsia="zh-CN"/>
          <w14:textFill>
            <w14:solidFill>
              <w14:schemeClr w14:val="tx1"/>
            </w14:solidFill>
          </w14:textFill>
        </w:rPr>
        <w:t>，</w:t>
      </w:r>
      <w:r>
        <w:rPr>
          <w:rFonts w:hint="eastAsia" w:eastAsia="仿宋_GB2312"/>
          <w:color w:val="000000" w:themeColor="text1"/>
          <w:spacing w:val="10"/>
          <w:sz w:val="32"/>
          <w:szCs w:val="32"/>
          <w14:textFill>
            <w14:solidFill>
              <w14:schemeClr w14:val="tx1"/>
            </w14:solidFill>
          </w14:textFill>
        </w:rPr>
        <w:t>不受所在单元网格规划数限制</w:t>
      </w:r>
      <w:r>
        <w:rPr>
          <w:rFonts w:eastAsia="仿宋_GB2312"/>
          <w:color w:val="000000" w:themeColor="text1"/>
          <w:spacing w:val="10"/>
          <w:sz w:val="32"/>
          <w:szCs w:val="32"/>
          <w14:textFill>
            <w14:solidFill>
              <w14:schemeClr w14:val="tx1"/>
            </w14:solidFill>
          </w14:textFill>
        </w:rPr>
        <w:t>，零售点间距可放宽至本单元网格间距标准的</w:t>
      </w:r>
      <w:r>
        <w:rPr>
          <w:rFonts w:hint="eastAsia" w:eastAsia="仿宋_GB2312"/>
          <w:color w:val="000000" w:themeColor="text1"/>
          <w:spacing w:val="10"/>
          <w:sz w:val="32"/>
          <w:szCs w:val="32"/>
          <w:lang w:val="en-US" w:eastAsia="zh-CN"/>
          <w14:textFill>
            <w14:solidFill>
              <w14:schemeClr w14:val="tx1"/>
            </w14:solidFill>
          </w14:textFill>
        </w:rPr>
        <w:t>40%</w:t>
      </w:r>
      <w:r>
        <w:rPr>
          <w:rFonts w:eastAsia="仿宋_GB2312"/>
          <w:color w:val="000000" w:themeColor="text1"/>
          <w:spacing w:val="10"/>
          <w:sz w:val="32"/>
          <w:szCs w:val="32"/>
          <w14:textFill>
            <w14:solidFill>
              <w14:schemeClr w14:val="tx1"/>
            </w14:solidFill>
          </w14:textFill>
        </w:rPr>
        <w:t>执行</w:t>
      </w:r>
      <w:r>
        <w:rPr>
          <w:rFonts w:hint="eastAsia" w:eastAsia="仿宋_GB2312"/>
          <w:color w:val="000000" w:themeColor="text1"/>
          <w:spacing w:val="10"/>
          <w:sz w:val="32"/>
          <w:szCs w:val="32"/>
          <w:lang w:eastAsia="zh-CN"/>
          <w14:textFill>
            <w14:solidFill>
              <w14:schemeClr w14:val="tx1"/>
            </w14:solidFill>
          </w14:textFill>
        </w:rPr>
        <w:t>。</w:t>
      </w:r>
    </w:p>
    <w:p w14:paraId="1668FB60">
      <w:pPr>
        <w:numPr>
          <w:ilvl w:val="0"/>
          <w:numId w:val="0"/>
        </w:numPr>
        <w:adjustRightInd w:val="0"/>
        <w:snapToGrid w:val="0"/>
        <w:spacing w:line="360" w:lineRule="auto"/>
        <w:ind w:firstLine="680" w:firstLineChars="200"/>
        <w:jc w:val="both"/>
        <w:textAlignment w:val="baseline"/>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pacing w:val="10"/>
          <w:sz w:val="32"/>
          <w:szCs w:val="32"/>
          <w14:textFill>
            <w14:solidFill>
              <w14:schemeClr w14:val="tx1"/>
            </w14:solidFill>
          </w14:textFill>
        </w:rPr>
        <w:t>在</w:t>
      </w:r>
      <w:r>
        <w:rPr>
          <w:rFonts w:hint="eastAsia" w:eastAsia="仿宋_GB2312"/>
          <w:color w:val="000000" w:themeColor="text1"/>
          <w:spacing w:val="10"/>
          <w:sz w:val="32"/>
          <w:szCs w:val="32"/>
          <w:lang w:val="en-US" w:eastAsia="zh-CN"/>
          <w14:textFill>
            <w14:solidFill>
              <w14:schemeClr w14:val="tx1"/>
            </w14:solidFill>
          </w14:textFill>
        </w:rPr>
        <w:t>元江县</w:t>
      </w:r>
      <w:r>
        <w:rPr>
          <w:rFonts w:eastAsia="仿宋_GB2312"/>
          <w:color w:val="000000" w:themeColor="text1"/>
          <w:spacing w:val="10"/>
          <w:sz w:val="32"/>
          <w:szCs w:val="32"/>
          <w14:textFill>
            <w14:solidFill>
              <w14:schemeClr w14:val="tx1"/>
            </w14:solidFill>
          </w14:textFill>
        </w:rPr>
        <w:t>其他单元网格</w:t>
      </w:r>
      <w:r>
        <w:rPr>
          <w:rFonts w:hint="eastAsia" w:eastAsia="仿宋_GB2312"/>
          <w:color w:val="000000" w:themeColor="text1"/>
          <w:spacing w:val="10"/>
          <w:sz w:val="32"/>
          <w:szCs w:val="32"/>
          <w14:textFill>
            <w14:solidFill>
              <w14:schemeClr w14:val="tx1"/>
            </w14:solidFill>
          </w14:textFill>
        </w:rPr>
        <w:t>申请</w:t>
      </w:r>
      <w:r>
        <w:rPr>
          <w:rFonts w:eastAsia="仿宋_GB2312"/>
          <w:color w:val="000000" w:themeColor="text1"/>
          <w:spacing w:val="10"/>
          <w:sz w:val="32"/>
          <w:szCs w:val="32"/>
          <w14:textFill>
            <w14:solidFill>
              <w14:schemeClr w14:val="tx1"/>
            </w14:solidFill>
          </w14:textFill>
        </w:rPr>
        <w:t>新办的，受所在单元网格规划数限制，间距标准可放宽至</w:t>
      </w:r>
      <w:r>
        <w:rPr>
          <w:rFonts w:hint="eastAsia" w:eastAsia="仿宋_GB2312"/>
          <w:color w:val="000000" w:themeColor="text1"/>
          <w:spacing w:val="10"/>
          <w:sz w:val="32"/>
          <w:szCs w:val="32"/>
          <w:lang w:val="en-US" w:eastAsia="zh-CN"/>
          <w14:textFill>
            <w14:solidFill>
              <w14:schemeClr w14:val="tx1"/>
            </w14:solidFill>
          </w14:textFill>
        </w:rPr>
        <w:t>本</w:t>
      </w:r>
      <w:r>
        <w:rPr>
          <w:rFonts w:eastAsia="仿宋_GB2312"/>
          <w:color w:val="000000" w:themeColor="text1"/>
          <w:spacing w:val="10"/>
          <w:sz w:val="32"/>
          <w:szCs w:val="32"/>
          <w14:textFill>
            <w14:solidFill>
              <w14:schemeClr w14:val="tx1"/>
            </w14:solidFill>
          </w14:textFill>
        </w:rPr>
        <w:t>单元网格间距标准的</w:t>
      </w:r>
      <w:r>
        <w:rPr>
          <w:rFonts w:hint="eastAsia" w:eastAsia="仿宋_GB2312"/>
          <w:color w:val="000000" w:themeColor="text1"/>
          <w:spacing w:val="10"/>
          <w:sz w:val="32"/>
          <w:szCs w:val="32"/>
          <w:lang w:val="en-US" w:eastAsia="zh-CN"/>
          <w14:textFill>
            <w14:solidFill>
              <w14:schemeClr w14:val="tx1"/>
            </w14:solidFill>
          </w14:textFill>
        </w:rPr>
        <w:t>80%</w:t>
      </w:r>
      <w:r>
        <w:rPr>
          <w:rFonts w:eastAsia="仿宋_GB2312"/>
          <w:color w:val="000000" w:themeColor="text1"/>
          <w:spacing w:val="10"/>
          <w:sz w:val="32"/>
          <w:szCs w:val="32"/>
          <w14:textFill>
            <w14:solidFill>
              <w14:schemeClr w14:val="tx1"/>
            </w14:solidFill>
          </w14:textFill>
        </w:rPr>
        <w:t>执行。</w:t>
      </w:r>
    </w:p>
    <w:p w14:paraId="0555AA7B">
      <w:pPr>
        <w:numPr>
          <w:ilvl w:val="2"/>
          <w:numId w:val="2"/>
        </w:numPr>
        <w:adjustRightInd w:val="0"/>
        <w:snapToGrid w:val="0"/>
        <w:spacing w:line="360" w:lineRule="auto"/>
        <w:ind w:left="-50" w:leftChars="0" w:firstLine="680" w:firstLineChars="0"/>
        <w:jc w:val="both"/>
        <w:textAlignment w:val="baseline"/>
        <w:rPr>
          <w:rFonts w:ascii="Times New Roman" w:hAnsi="Times New Roman" w:eastAsia="仿宋_GB2312" w:cs="Times New Roman"/>
          <w:color w:val="000000" w:themeColor="text1"/>
          <w:spacing w:val="10"/>
          <w:sz w:val="32"/>
          <w:szCs w:val="32"/>
          <w14:textFill>
            <w14:solidFill>
              <w14:schemeClr w14:val="tx1"/>
            </w14:solidFill>
          </w14:textFill>
        </w:rPr>
      </w:pPr>
      <w:r>
        <w:rPr>
          <w:rFonts w:ascii="Times New Roman" w:hAnsi="Times New Roman" w:eastAsia="仿宋_GB2312" w:cs="Times New Roman"/>
          <w:color w:val="000000" w:themeColor="text1"/>
          <w:spacing w:val="10"/>
          <w:sz w:val="32"/>
          <w:szCs w:val="32"/>
          <w:lang w:val="en-US" w:eastAsia="zh-CN"/>
          <w14:textFill>
            <w14:solidFill>
              <w14:schemeClr w14:val="tx1"/>
            </w14:solidFill>
          </w14:textFill>
        </w:rPr>
        <w:t>在原发证机关辖区范围内连续经营 5年以上，且最近连</w:t>
      </w:r>
      <w:r>
        <w:rPr>
          <w:rFonts w:hint="eastAsia" w:ascii="Times New Roman" w:hAnsi="Times New Roman" w:eastAsia="仿宋_GB2312" w:cs="Times New Roman"/>
          <w:color w:val="000000" w:themeColor="text1"/>
          <w:spacing w:val="10"/>
          <w:sz w:val="32"/>
          <w:szCs w:val="32"/>
          <w14:textFill>
            <w14:solidFill>
              <w14:schemeClr w14:val="tx1"/>
            </w14:solidFill>
          </w14:textFill>
        </w:rPr>
        <w:t>续 3年无涉烟违法违规记录的持证户，因租金上涨、租赁期满等客观原因不能在原核定地址经营，经营主体未发生改变，在办理许可证歇业后 6个月内，持证人申请在原单元网格新址上新办零售许可证的，不受所在单元网格规划数限制，零售点间距可放宽至本单元网格间距标准的40%执行。</w:t>
      </w:r>
    </w:p>
    <w:p w14:paraId="5E1171BC">
      <w:pPr>
        <w:numPr>
          <w:ilvl w:val="0"/>
          <w:numId w:val="0"/>
        </w:numPr>
        <w:adjustRightInd w:val="0"/>
        <w:snapToGrid w:val="0"/>
        <w:spacing w:line="360" w:lineRule="auto"/>
        <w:ind w:firstLine="680" w:firstLineChars="200"/>
        <w:jc w:val="both"/>
        <w:textAlignment w:val="baseline"/>
        <w:rPr>
          <w:rFonts w:eastAsia="仿宋_GB2312"/>
          <w:color w:val="000000" w:themeColor="text1"/>
          <w:spacing w:val="10"/>
          <w:sz w:val="32"/>
          <w:szCs w:val="32"/>
          <w14:textFill>
            <w14:solidFill>
              <w14:schemeClr w14:val="tx1"/>
            </w14:solidFill>
          </w14:textFill>
        </w:rPr>
      </w:pPr>
    </w:p>
    <w:p w14:paraId="44D1F301">
      <w:pPr>
        <w:pStyle w:val="9"/>
        <w:numPr>
          <w:ilvl w:val="0"/>
          <w:numId w:val="1"/>
        </w:numPr>
        <w:snapToGrid w:val="0"/>
        <w:spacing w:before="312" w:beforeLines="100" w:after="312" w:afterLines="100" w:line="360" w:lineRule="auto"/>
        <w:ind w:firstLine="640" w:firstLineChars="200"/>
        <w:textAlignment w:val="baseline"/>
        <w:rPr>
          <w:rFonts w:ascii="Times New Roman" w:hAnsi="Times New Roman" w:eastAsia="黑体"/>
          <w:color w:val="000000" w:themeColor="text1"/>
          <w:sz w:val="32"/>
          <w:szCs w:val="32"/>
          <w14:textFill>
            <w14:solidFill>
              <w14:schemeClr w14:val="tx1"/>
            </w14:solidFill>
          </w14:textFill>
        </w:rPr>
      </w:pPr>
      <w:r>
        <w:rPr>
          <w:rFonts w:ascii="Times New Roman" w:hAnsi="Times New Roman" w:eastAsia="黑体"/>
          <w:color w:val="000000" w:themeColor="text1"/>
          <w:sz w:val="32"/>
          <w:szCs w:val="32"/>
          <w14:textFill>
            <w14:solidFill>
              <w14:schemeClr w14:val="tx1"/>
            </w14:solidFill>
          </w14:textFill>
        </w:rPr>
        <w:t>附则</w:t>
      </w:r>
    </w:p>
    <w:p w14:paraId="7177573A">
      <w:pPr>
        <w:numPr>
          <w:ilvl w:val="2"/>
          <w:numId w:val="2"/>
        </w:numPr>
        <w:snapToGrid w:val="0"/>
        <w:spacing w:line="360" w:lineRule="auto"/>
        <w:ind w:left="-50" w:leftChars="0" w:firstLine="680" w:firstLineChars="0"/>
        <w:jc w:val="both"/>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本规划实施后如遇相关法律法规、规章及规范性文件调整的，根据最新规定进行调整，及时报</w:t>
      </w:r>
      <w:r>
        <w:rPr>
          <w:rFonts w:hint="eastAsia" w:eastAsia="仿宋_GB2312"/>
          <w:color w:val="000000" w:themeColor="text1"/>
          <w:spacing w:val="10"/>
          <w:sz w:val="32"/>
          <w:szCs w:val="32"/>
          <w:lang w:val="en-US" w:eastAsia="zh-CN"/>
          <w14:textFill>
            <w14:solidFill>
              <w14:schemeClr w14:val="tx1"/>
            </w14:solidFill>
          </w14:textFill>
        </w:rPr>
        <w:t>元江县司法局</w:t>
      </w:r>
      <w:r>
        <w:rPr>
          <w:rFonts w:eastAsia="仿宋_GB2312"/>
          <w:color w:val="000000" w:themeColor="text1"/>
          <w:spacing w:val="10"/>
          <w:sz w:val="32"/>
          <w:szCs w:val="32"/>
          <w14:textFill>
            <w14:solidFill>
              <w14:schemeClr w14:val="tx1"/>
            </w14:solidFill>
          </w14:textFill>
        </w:rPr>
        <w:t>备案后公布实施。</w:t>
      </w:r>
    </w:p>
    <w:p w14:paraId="1C39D8C0">
      <w:pPr>
        <w:numPr>
          <w:ilvl w:val="2"/>
          <w:numId w:val="2"/>
        </w:numPr>
        <w:snapToGrid w:val="0"/>
        <w:spacing w:line="360" w:lineRule="auto"/>
        <w:ind w:left="-50" w:leftChars="0" w:firstLine="680" w:firstLineChars="0"/>
        <w:jc w:val="both"/>
        <w:rPr>
          <w:rFonts w:eastAsia="仿宋_GB2312"/>
          <w:color w:val="000000" w:themeColor="text1"/>
          <w:sz w:val="32"/>
          <w:szCs w:val="32"/>
          <w14:textFill>
            <w14:solidFill>
              <w14:schemeClr w14:val="tx1"/>
            </w14:solidFill>
          </w14:textFill>
        </w:rPr>
      </w:pPr>
      <w:r>
        <w:rPr>
          <w:rFonts w:hint="eastAsia" w:eastAsia="仿宋_GB2312"/>
          <w:color w:val="000000" w:themeColor="text1"/>
          <w:spacing w:val="10"/>
          <w:sz w:val="32"/>
          <w:szCs w:val="32"/>
          <w:lang w:val="en-US" w:eastAsia="zh-CN"/>
          <w14:textFill>
            <w14:solidFill>
              <w14:schemeClr w14:val="tx1"/>
            </w14:solidFill>
          </w14:textFill>
        </w:rPr>
        <w:t>元江</w:t>
      </w:r>
      <w:r>
        <w:rPr>
          <w:rFonts w:eastAsia="仿宋_GB2312"/>
          <w:color w:val="000000" w:themeColor="text1"/>
          <w:spacing w:val="10"/>
          <w:sz w:val="32"/>
          <w:szCs w:val="32"/>
          <w14:textFill>
            <w14:solidFill>
              <w14:schemeClr w14:val="tx1"/>
            </w14:solidFill>
          </w14:textFill>
        </w:rPr>
        <w:t>县</w:t>
      </w:r>
      <w:r>
        <w:rPr>
          <w:rFonts w:eastAsia="仿宋_GB2312"/>
          <w:color w:val="000000" w:themeColor="text1"/>
          <w:sz w:val="32"/>
          <w:szCs w:val="32"/>
          <w14:textFill>
            <w14:solidFill>
              <w14:schemeClr w14:val="tx1"/>
            </w14:solidFill>
          </w14:textFill>
        </w:rPr>
        <w:t>零售点合理布局实行定期评价、动态管理。每季度根据本地经济发展、城乡建设、市场形势等变化情况进行调整并公示后实施。</w:t>
      </w:r>
      <w:r>
        <w:rPr>
          <w:rFonts w:hint="eastAsia" w:eastAsia="仿宋_GB2312"/>
          <w:color w:val="000000" w:themeColor="text1"/>
          <w:sz w:val="32"/>
          <w:szCs w:val="32"/>
          <w14:textFill>
            <w14:solidFill>
              <w14:schemeClr w14:val="tx1"/>
            </w14:solidFill>
          </w14:textFill>
        </w:rPr>
        <w:t>动态调整规则详见《</w:t>
      </w:r>
      <w:r>
        <w:rPr>
          <w:rFonts w:eastAsia="仿宋_GB2312"/>
          <w:color w:val="000000" w:themeColor="text1"/>
          <w:sz w:val="32"/>
          <w:szCs w:val="32"/>
          <w14:textFill>
            <w14:solidFill>
              <w14:schemeClr w14:val="tx1"/>
            </w14:solidFill>
          </w14:textFill>
        </w:rPr>
        <w:t>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县烟草制品零售点合理布局规划数动态调整管理制度</w:t>
      </w:r>
      <w:r>
        <w:rPr>
          <w:rFonts w:hint="eastAsia" w:eastAsia="仿宋_GB2312"/>
          <w:color w:val="000000" w:themeColor="text1"/>
          <w:sz w:val="32"/>
          <w:szCs w:val="32"/>
          <w14:textFill>
            <w14:solidFill>
              <w14:schemeClr w14:val="tx1"/>
            </w14:solidFill>
          </w14:textFill>
        </w:rPr>
        <w:t>》（附件5）。</w:t>
      </w:r>
    </w:p>
    <w:p w14:paraId="234C4D55">
      <w:pPr>
        <w:numPr>
          <w:ilvl w:val="2"/>
          <w:numId w:val="2"/>
        </w:numPr>
        <w:snapToGrid w:val="0"/>
        <w:spacing w:line="360" w:lineRule="auto"/>
        <w:ind w:left="-50" w:leftChars="0" w:firstLine="640" w:firstLineChars="0"/>
        <w:jc w:val="both"/>
        <w:rPr>
          <w:rFonts w:eastAsia="仿宋_GB2312"/>
          <w:color w:val="000000" w:themeColor="text1"/>
          <w:sz w:val="32"/>
          <w:szCs w:val="32"/>
          <w14:textFill>
            <w14:solidFill>
              <w14:schemeClr w14:val="tx1"/>
            </w14:solidFill>
          </w14:textFill>
        </w:rPr>
      </w:pPr>
      <w:r>
        <w:rPr>
          <w:rFonts w:eastAsia="仿宋_GB2312"/>
          <w:color w:val="000000" w:themeColor="text1"/>
          <w:sz w:val="32"/>
          <w:szCs w:val="32"/>
          <w14:textFill>
            <w14:solidFill>
              <w14:schemeClr w14:val="tx1"/>
            </w14:solidFill>
          </w14:textFill>
        </w:rPr>
        <w:t>对暂不符合本布局规划条件的申请人，实行</w:t>
      </w:r>
      <w:r>
        <w:rPr>
          <w:rFonts w:hint="eastAsia" w:eastAsia="仿宋_GB2312"/>
          <w:color w:val="000000" w:themeColor="text1"/>
          <w:sz w:val="32"/>
          <w:szCs w:val="32"/>
          <w14:textFill>
            <w14:solidFill>
              <w14:schemeClr w14:val="tx1"/>
            </w14:solidFill>
          </w14:textFill>
        </w:rPr>
        <w:t>排队</w:t>
      </w:r>
      <w:r>
        <w:rPr>
          <w:rFonts w:eastAsia="仿宋_GB2312"/>
          <w:color w:val="000000" w:themeColor="text1"/>
          <w:sz w:val="32"/>
          <w:szCs w:val="32"/>
          <w14:textFill>
            <w14:solidFill>
              <w14:schemeClr w14:val="tx1"/>
            </w14:solidFill>
          </w14:textFill>
        </w:rPr>
        <w:t>轮候制度。</w:t>
      </w:r>
      <w:r>
        <w:rPr>
          <w:rFonts w:hint="eastAsia" w:eastAsia="仿宋_GB2312"/>
          <w:color w:val="000000" w:themeColor="text1"/>
          <w:sz w:val="32"/>
          <w:szCs w:val="32"/>
          <w14:textFill>
            <w14:solidFill>
              <w14:schemeClr w14:val="tx1"/>
            </w14:solidFill>
          </w14:textFill>
        </w:rPr>
        <w:t>排队</w:t>
      </w:r>
      <w:r>
        <w:rPr>
          <w:rFonts w:eastAsia="仿宋_GB2312"/>
          <w:color w:val="000000" w:themeColor="text1"/>
          <w:sz w:val="32"/>
          <w:szCs w:val="32"/>
          <w14:textFill>
            <w14:solidFill>
              <w14:schemeClr w14:val="tx1"/>
            </w14:solidFill>
          </w14:textFill>
        </w:rPr>
        <w:t>轮候制度详见《云南省</w:t>
      </w:r>
      <w:r>
        <w:rPr>
          <w:rFonts w:hint="eastAsia" w:eastAsia="仿宋_GB2312"/>
          <w:color w:val="000000" w:themeColor="text1"/>
          <w:sz w:val="32"/>
          <w:szCs w:val="32"/>
          <w:lang w:val="en-US" w:eastAsia="zh-CN"/>
          <w14:textFill>
            <w14:solidFill>
              <w14:schemeClr w14:val="tx1"/>
            </w14:solidFill>
          </w14:textFill>
        </w:rPr>
        <w:t>元江哈尼族彝族傣族自治</w:t>
      </w:r>
      <w:r>
        <w:rPr>
          <w:rFonts w:eastAsia="仿宋_GB2312"/>
          <w:color w:val="000000" w:themeColor="text1"/>
          <w:sz w:val="32"/>
          <w:szCs w:val="32"/>
          <w14:textFill>
            <w14:solidFill>
              <w14:schemeClr w14:val="tx1"/>
            </w14:solidFill>
          </w14:textFill>
        </w:rPr>
        <w:t>县烟草专卖局烟草制品零售点</w:t>
      </w:r>
      <w:r>
        <w:rPr>
          <w:rFonts w:hint="eastAsia" w:eastAsia="仿宋_GB2312"/>
          <w:color w:val="000000" w:themeColor="text1"/>
          <w:sz w:val="32"/>
          <w:szCs w:val="32"/>
          <w14:textFill>
            <w14:solidFill>
              <w14:schemeClr w14:val="tx1"/>
            </w14:solidFill>
          </w14:textFill>
        </w:rPr>
        <w:t>排队</w:t>
      </w:r>
      <w:r>
        <w:rPr>
          <w:rFonts w:eastAsia="仿宋_GB2312"/>
          <w:color w:val="000000" w:themeColor="text1"/>
          <w:sz w:val="32"/>
          <w:szCs w:val="32"/>
          <w14:textFill>
            <w14:solidFill>
              <w14:schemeClr w14:val="tx1"/>
            </w14:solidFill>
          </w14:textFill>
        </w:rPr>
        <w:t>轮候制度》（附件</w:t>
      </w:r>
      <w:r>
        <w:rPr>
          <w:rFonts w:hint="eastAsia" w:eastAsia="仿宋_GB2312"/>
          <w:color w:val="000000" w:themeColor="text1"/>
          <w:sz w:val="32"/>
          <w:szCs w:val="32"/>
          <w:lang w:val="en-US" w:eastAsia="zh-CN"/>
          <w14:textFill>
            <w14:solidFill>
              <w14:schemeClr w14:val="tx1"/>
            </w14:solidFill>
          </w14:textFill>
        </w:rPr>
        <w:t>6</w:t>
      </w:r>
      <w:r>
        <w:rPr>
          <w:rFonts w:eastAsia="仿宋_GB2312"/>
          <w:color w:val="000000" w:themeColor="text1"/>
          <w:sz w:val="32"/>
          <w:szCs w:val="32"/>
          <w14:textFill>
            <w14:solidFill>
              <w14:schemeClr w14:val="tx1"/>
            </w14:solidFill>
          </w14:textFill>
        </w:rPr>
        <w:t>）。</w:t>
      </w:r>
    </w:p>
    <w:p w14:paraId="44C6BB53">
      <w:pPr>
        <w:numPr>
          <w:ilvl w:val="2"/>
          <w:numId w:val="2"/>
        </w:numPr>
        <w:snapToGrid w:val="0"/>
        <w:spacing w:line="360" w:lineRule="auto"/>
        <w:ind w:left="-50" w:leftChars="0" w:firstLine="680" w:firstLineChars="0"/>
        <w:jc w:val="both"/>
        <w:rPr>
          <w:rFonts w:eastAsia="仿宋_GB2312"/>
          <w:color w:val="000000" w:themeColor="text1"/>
          <w:spacing w:val="10"/>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符合第十</w:t>
      </w:r>
      <w:r>
        <w:rPr>
          <w:rFonts w:hint="eastAsia" w:eastAsia="仿宋_GB2312"/>
          <w:color w:val="000000" w:themeColor="text1"/>
          <w:sz w:val="32"/>
          <w:szCs w:val="32"/>
          <w:lang w:val="en-US" w:eastAsia="zh-CN"/>
          <w14:textFill>
            <w14:solidFill>
              <w14:schemeClr w14:val="tx1"/>
            </w14:solidFill>
          </w14:textFill>
        </w:rPr>
        <w:t>六</w:t>
      </w:r>
      <w:r>
        <w:rPr>
          <w:rFonts w:hint="eastAsia" w:eastAsia="仿宋_GB2312"/>
          <w:color w:val="000000" w:themeColor="text1"/>
          <w:sz w:val="32"/>
          <w:szCs w:val="32"/>
          <w14:textFill>
            <w14:solidFill>
              <w14:schemeClr w14:val="tx1"/>
            </w14:solidFill>
          </w14:textFill>
        </w:rPr>
        <w:t>条、第十</w:t>
      </w:r>
      <w:r>
        <w:rPr>
          <w:rFonts w:hint="eastAsia" w:eastAsia="仿宋_GB2312"/>
          <w:color w:val="000000" w:themeColor="text1"/>
          <w:sz w:val="32"/>
          <w:szCs w:val="32"/>
          <w:lang w:val="en-US" w:eastAsia="zh-CN"/>
          <w14:textFill>
            <w14:solidFill>
              <w14:schemeClr w14:val="tx1"/>
            </w14:solidFill>
          </w14:textFill>
        </w:rPr>
        <w:t>七</w:t>
      </w:r>
      <w:r>
        <w:rPr>
          <w:rFonts w:hint="eastAsia" w:eastAsia="仿宋_GB2312"/>
          <w:color w:val="000000" w:themeColor="text1"/>
          <w:sz w:val="32"/>
          <w:szCs w:val="32"/>
          <w14:textFill>
            <w14:solidFill>
              <w14:schemeClr w14:val="tx1"/>
            </w14:solidFill>
          </w14:textFill>
        </w:rPr>
        <w:t>条</w:t>
      </w:r>
      <w:r>
        <w:rPr>
          <w:rFonts w:hint="eastAsia" w:eastAsia="仿宋_GB2312"/>
          <w:color w:val="000000" w:themeColor="text1"/>
          <w:sz w:val="32"/>
          <w:szCs w:val="32"/>
          <w:lang w:eastAsia="zh-CN"/>
          <w14:textFill>
            <w14:solidFill>
              <w14:schemeClr w14:val="tx1"/>
            </w14:solidFill>
          </w14:textFill>
        </w:rPr>
        <w:t>、</w:t>
      </w:r>
      <w:r>
        <w:rPr>
          <w:rFonts w:hint="eastAsia" w:eastAsia="仿宋_GB2312"/>
          <w:color w:val="000000" w:themeColor="text1"/>
          <w:sz w:val="32"/>
          <w:szCs w:val="32"/>
          <w14:textFill>
            <w14:solidFill>
              <w14:schemeClr w14:val="tx1"/>
            </w14:solidFill>
          </w14:textFill>
        </w:rPr>
        <w:t>第十</w:t>
      </w:r>
      <w:r>
        <w:rPr>
          <w:rFonts w:hint="eastAsia" w:eastAsia="仿宋_GB2312"/>
          <w:color w:val="000000" w:themeColor="text1"/>
          <w:sz w:val="32"/>
          <w:szCs w:val="32"/>
          <w:lang w:val="en-US" w:eastAsia="zh-CN"/>
          <w14:textFill>
            <w14:solidFill>
              <w14:schemeClr w14:val="tx1"/>
            </w14:solidFill>
          </w14:textFill>
        </w:rPr>
        <w:t>八</w:t>
      </w:r>
      <w:r>
        <w:rPr>
          <w:rFonts w:hint="eastAsia" w:eastAsia="仿宋_GB2312"/>
          <w:color w:val="000000" w:themeColor="text1"/>
          <w:sz w:val="32"/>
          <w:szCs w:val="32"/>
          <w14:textFill>
            <w14:solidFill>
              <w14:schemeClr w14:val="tx1"/>
            </w14:solidFill>
          </w14:textFill>
        </w:rPr>
        <w:t>条情形且不受单元网格规划数限制的，申请人不实行排队轮候制度。</w:t>
      </w:r>
    </w:p>
    <w:p w14:paraId="1A72BBFA">
      <w:pPr>
        <w:numPr>
          <w:ilvl w:val="2"/>
          <w:numId w:val="2"/>
        </w:numPr>
        <w:snapToGrid w:val="0"/>
        <w:spacing w:line="360" w:lineRule="auto"/>
        <w:ind w:left="-50" w:leftChars="0" w:firstLine="680" w:firstLineChars="0"/>
        <w:jc w:val="both"/>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本规划中所称“中小学校”是指普通中小学校、特殊教育学校、中等职业学校、专门学校等。“幼儿园”是指经教育行政主管部门依法批准的公办和民办全日制、寄宿制、半日制幼儿园及小学附设的学前班、幼儿班</w:t>
      </w:r>
      <w:r>
        <w:rPr>
          <w:rFonts w:hint="eastAsia" w:eastAsia="仿宋_GB2312"/>
          <w:color w:val="000000" w:themeColor="text1"/>
          <w:spacing w:val="10"/>
          <w:sz w:val="32"/>
          <w:szCs w:val="32"/>
          <w14:textFill>
            <w14:solidFill>
              <w14:schemeClr w14:val="tx1"/>
            </w14:solidFill>
          </w14:textFill>
        </w:rPr>
        <w:t>等</w:t>
      </w:r>
      <w:r>
        <w:rPr>
          <w:rFonts w:eastAsia="仿宋_GB2312"/>
          <w:color w:val="000000" w:themeColor="text1"/>
          <w:spacing w:val="10"/>
          <w:sz w:val="32"/>
          <w:szCs w:val="32"/>
          <w14:textFill>
            <w14:solidFill>
              <w14:schemeClr w14:val="tx1"/>
            </w14:solidFill>
          </w14:textFill>
        </w:rPr>
        <w:t>。各类培训教育机构、托管班、早教班等除外。</w:t>
      </w:r>
    </w:p>
    <w:p w14:paraId="5C79C2D7">
      <w:pPr>
        <w:numPr>
          <w:ilvl w:val="2"/>
          <w:numId w:val="2"/>
        </w:numPr>
        <w:snapToGrid w:val="0"/>
        <w:spacing w:line="360" w:lineRule="auto"/>
        <w:ind w:left="-50" w:leftChars="0" w:firstLine="680" w:firstLineChars="0"/>
        <w:jc w:val="both"/>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本规划中“以上”“不低于”“不超过”“以内”等，如无特殊说明均包括本数。</w:t>
      </w:r>
    </w:p>
    <w:p w14:paraId="13D4EF85">
      <w:pPr>
        <w:numPr>
          <w:ilvl w:val="2"/>
          <w:numId w:val="2"/>
        </w:numPr>
        <w:snapToGrid w:val="0"/>
        <w:spacing w:line="360" w:lineRule="auto"/>
        <w:ind w:left="-50" w:leftChars="0" w:firstLine="680" w:firstLineChars="0"/>
        <w:jc w:val="both"/>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本规划中按照年、月、日计算期间的，开始的当日不计入，自下一日开始计算。</w:t>
      </w:r>
    </w:p>
    <w:p w14:paraId="28560F21">
      <w:pPr>
        <w:numPr>
          <w:ilvl w:val="2"/>
          <w:numId w:val="2"/>
        </w:numPr>
        <w:snapToGrid w:val="0"/>
        <w:spacing w:line="360" w:lineRule="auto"/>
        <w:ind w:left="-50" w:leftChars="0" w:firstLine="680" w:firstLineChars="0"/>
        <w:jc w:val="left"/>
        <w:rPr>
          <w:rFonts w:eastAsia="仿宋_GB2312"/>
          <w:color w:val="000000" w:themeColor="text1"/>
          <w:spacing w:val="10"/>
          <w:sz w:val="32"/>
          <w:szCs w:val="32"/>
          <w14:textFill>
            <w14:solidFill>
              <w14:schemeClr w14:val="tx1"/>
            </w14:solidFill>
          </w14:textFill>
        </w:rPr>
      </w:pPr>
      <w:r>
        <w:rPr>
          <w:rFonts w:eastAsia="仿宋_GB2312"/>
          <w:color w:val="000000" w:themeColor="text1"/>
          <w:spacing w:val="10"/>
          <w:sz w:val="32"/>
          <w:szCs w:val="32"/>
          <w14:textFill>
            <w14:solidFill>
              <w14:schemeClr w14:val="tx1"/>
            </w14:solidFill>
          </w14:textFill>
        </w:rPr>
        <w:t>本规划由云南省</w:t>
      </w:r>
      <w:r>
        <w:rPr>
          <w:rFonts w:hint="eastAsia" w:eastAsia="仿宋_GB2312"/>
          <w:color w:val="000000" w:themeColor="text1"/>
          <w:spacing w:val="10"/>
          <w:sz w:val="32"/>
          <w:szCs w:val="32"/>
          <w:lang w:val="en-US" w:eastAsia="zh-CN"/>
          <w14:textFill>
            <w14:solidFill>
              <w14:schemeClr w14:val="tx1"/>
            </w14:solidFill>
          </w14:textFill>
        </w:rPr>
        <w:t>元江哈尼族彝族傣族自治</w:t>
      </w:r>
      <w:r>
        <w:rPr>
          <w:rFonts w:eastAsia="仿宋_GB2312"/>
          <w:color w:val="000000" w:themeColor="text1"/>
          <w:spacing w:val="10"/>
          <w:sz w:val="32"/>
          <w:szCs w:val="32"/>
          <w14:textFill>
            <w14:solidFill>
              <w14:schemeClr w14:val="tx1"/>
            </w14:solidFill>
          </w14:textFill>
        </w:rPr>
        <w:t>县烟草专卖局负责解释。</w:t>
      </w:r>
    </w:p>
    <w:p w14:paraId="42257177">
      <w:pPr>
        <w:numPr>
          <w:ilvl w:val="2"/>
          <w:numId w:val="2"/>
        </w:numPr>
        <w:snapToGrid w:val="0"/>
        <w:spacing w:line="360" w:lineRule="auto"/>
        <w:ind w:left="-50" w:leftChars="0" w:firstLine="680" w:firstLineChars="0"/>
        <w:jc w:val="left"/>
        <w:textAlignment w:val="baseline"/>
        <w:rPr>
          <w:rFonts w:eastAsia="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pacing w:val="10"/>
          <w:sz w:val="32"/>
          <w:szCs w:val="32"/>
          <w:lang w:eastAsia="zh-CN"/>
          <w14:textFill>
            <w14:solidFill>
              <w14:schemeClr w14:val="tx1"/>
            </w14:solidFill>
          </w14:textFill>
        </w:rPr>
        <w:t>本规划</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自202</w:t>
      </w:r>
      <w:r>
        <w:rPr>
          <w:rFonts w:hint="eastAsia" w:eastAsia="仿宋_GB2312" w:cs="Times New Roman"/>
          <w:color w:val="000000" w:themeColor="text1"/>
          <w:spacing w:val="10"/>
          <w:sz w:val="32"/>
          <w:szCs w:val="32"/>
          <w:lang w:val="en-US" w:eastAsia="zh-CN"/>
          <w14:textFill>
            <w14:solidFill>
              <w14:schemeClr w14:val="tx1"/>
            </w14:solidFill>
          </w14:textFill>
        </w:rPr>
        <w:t>6</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年</w:t>
      </w:r>
      <w:r>
        <w:rPr>
          <w:rFonts w:hint="eastAsia" w:eastAsia="仿宋_GB2312" w:cs="Times New Roman"/>
          <w:color w:val="000000" w:themeColor="text1"/>
          <w:spacing w:val="10"/>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月</w:t>
      </w:r>
      <w:r>
        <w:rPr>
          <w:rFonts w:hint="eastAsia" w:eastAsia="仿宋_GB2312" w:cs="Times New Roman"/>
          <w:color w:val="000000" w:themeColor="text1"/>
          <w:spacing w:val="10"/>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pacing w:val="10"/>
          <w:sz w:val="32"/>
          <w:szCs w:val="32"/>
          <w:lang w:val="en-US" w:eastAsia="zh-CN"/>
          <w14:textFill>
            <w14:solidFill>
              <w14:schemeClr w14:val="tx1"/>
            </w14:solidFill>
          </w14:textFill>
        </w:rPr>
        <w:t>日施行</w:t>
      </w:r>
      <w:r>
        <w:rPr>
          <w:rFonts w:eastAsia="仿宋_GB2312"/>
          <w:color w:val="000000" w:themeColor="text1"/>
          <w:spacing w:val="10"/>
          <w:sz w:val="32"/>
          <w:szCs w:val="32"/>
          <w14:textFill>
            <w14:solidFill>
              <w14:schemeClr w14:val="tx1"/>
            </w14:solidFill>
          </w14:textFill>
        </w:rPr>
        <w:t>。202</w:t>
      </w:r>
      <w:r>
        <w:rPr>
          <w:rFonts w:hint="eastAsia" w:eastAsia="仿宋_GB2312"/>
          <w:color w:val="000000" w:themeColor="text1"/>
          <w:spacing w:val="10"/>
          <w:sz w:val="32"/>
          <w:szCs w:val="32"/>
          <w:lang w:val="en-US" w:eastAsia="zh-CN"/>
          <w14:textFill>
            <w14:solidFill>
              <w14:schemeClr w14:val="tx1"/>
            </w14:solidFill>
          </w14:textFill>
        </w:rPr>
        <w:t>5</w:t>
      </w:r>
      <w:r>
        <w:rPr>
          <w:rFonts w:eastAsia="仿宋_GB2312"/>
          <w:color w:val="000000" w:themeColor="text1"/>
          <w:spacing w:val="10"/>
          <w:sz w:val="32"/>
          <w:szCs w:val="32"/>
          <w14:textFill>
            <w14:solidFill>
              <w14:schemeClr w14:val="tx1"/>
            </w14:solidFill>
          </w14:textFill>
        </w:rPr>
        <w:t>年</w:t>
      </w:r>
      <w:r>
        <w:rPr>
          <w:rFonts w:hint="eastAsia" w:eastAsia="仿宋_GB2312"/>
          <w:color w:val="000000" w:themeColor="text1"/>
          <w:spacing w:val="10"/>
          <w:sz w:val="32"/>
          <w:szCs w:val="32"/>
          <w:lang w:val="en-US" w:eastAsia="zh-CN"/>
          <w14:textFill>
            <w14:solidFill>
              <w14:schemeClr w14:val="tx1"/>
            </w14:solidFill>
          </w14:textFill>
        </w:rPr>
        <w:t>11</w:t>
      </w:r>
      <w:r>
        <w:rPr>
          <w:rFonts w:eastAsia="仿宋_GB2312"/>
          <w:color w:val="000000" w:themeColor="text1"/>
          <w:spacing w:val="10"/>
          <w:sz w:val="32"/>
          <w:szCs w:val="32"/>
          <w14:textFill>
            <w14:solidFill>
              <w14:schemeClr w14:val="tx1"/>
            </w14:solidFill>
          </w14:textFill>
        </w:rPr>
        <w:t>月</w:t>
      </w:r>
      <w:r>
        <w:rPr>
          <w:rFonts w:hint="eastAsia" w:eastAsia="仿宋_GB2312"/>
          <w:color w:val="000000" w:themeColor="text1"/>
          <w:spacing w:val="10"/>
          <w:sz w:val="32"/>
          <w:szCs w:val="32"/>
          <w:lang w:val="en-US" w:eastAsia="zh-CN"/>
          <w14:textFill>
            <w14:solidFill>
              <w14:schemeClr w14:val="tx1"/>
            </w14:solidFill>
          </w14:textFill>
        </w:rPr>
        <w:t>01</w:t>
      </w:r>
      <w:r>
        <w:rPr>
          <w:rFonts w:eastAsia="仿宋_GB2312"/>
          <w:color w:val="000000" w:themeColor="text1"/>
          <w:spacing w:val="10"/>
          <w:sz w:val="32"/>
          <w:szCs w:val="32"/>
          <w14:textFill>
            <w14:solidFill>
              <w14:schemeClr w14:val="tx1"/>
            </w14:solidFill>
          </w14:textFill>
        </w:rPr>
        <w:t>日起实施的《</w:t>
      </w:r>
      <w:r>
        <w:rPr>
          <w:rFonts w:hint="eastAsia" w:eastAsia="仿宋_GB2312"/>
          <w:color w:val="000000" w:themeColor="text1"/>
          <w:spacing w:val="10"/>
          <w:sz w:val="32"/>
          <w:szCs w:val="32"/>
          <w:lang w:val="en-US" w:eastAsia="zh-CN"/>
          <w14:textFill>
            <w14:solidFill>
              <w14:schemeClr w14:val="tx1"/>
            </w14:solidFill>
          </w14:textFill>
        </w:rPr>
        <w:t>云南省元江哈尼族彝族傣族自治县</w:t>
      </w:r>
      <w:r>
        <w:rPr>
          <w:rFonts w:eastAsia="仿宋_GB2312"/>
          <w:color w:val="000000" w:themeColor="text1"/>
          <w:spacing w:val="10"/>
          <w:sz w:val="32"/>
          <w:szCs w:val="32"/>
          <w14:textFill>
            <w14:solidFill>
              <w14:schemeClr w14:val="tx1"/>
            </w14:solidFill>
          </w14:textFill>
        </w:rPr>
        <w:t>烟草制品零售点合理布局规定》（</w:t>
      </w:r>
      <w:r>
        <w:rPr>
          <w:rFonts w:hint="eastAsia" w:eastAsia="仿宋_GB2312"/>
          <w:color w:val="000000" w:themeColor="text1"/>
          <w:spacing w:val="10"/>
          <w:sz w:val="32"/>
          <w:szCs w:val="32"/>
          <w:lang w:val="en-US" w:eastAsia="zh-CN"/>
          <w14:textFill>
            <w14:solidFill>
              <w14:schemeClr w14:val="tx1"/>
            </w14:solidFill>
          </w14:textFill>
        </w:rPr>
        <w:t>元</w:t>
      </w:r>
      <w:r>
        <w:rPr>
          <w:rFonts w:eastAsia="仿宋_GB2312"/>
          <w:color w:val="000000" w:themeColor="text1"/>
          <w:spacing w:val="10"/>
          <w:sz w:val="32"/>
          <w:szCs w:val="32"/>
          <w14:textFill>
            <w14:solidFill>
              <w14:schemeClr w14:val="tx1"/>
            </w14:solidFill>
          </w14:textFill>
        </w:rPr>
        <w:t>烟专〔202</w:t>
      </w:r>
      <w:r>
        <w:rPr>
          <w:rFonts w:hint="eastAsia" w:eastAsia="仿宋_GB2312"/>
          <w:color w:val="000000" w:themeColor="text1"/>
          <w:spacing w:val="10"/>
          <w:sz w:val="32"/>
          <w:szCs w:val="32"/>
          <w:lang w:val="en-US" w:eastAsia="zh-CN"/>
          <w14:textFill>
            <w14:solidFill>
              <w14:schemeClr w14:val="tx1"/>
            </w14:solidFill>
          </w14:textFill>
        </w:rPr>
        <w:t>5</w:t>
      </w:r>
      <w:r>
        <w:rPr>
          <w:rFonts w:eastAsia="仿宋_GB2312"/>
          <w:color w:val="000000" w:themeColor="text1"/>
          <w:spacing w:val="10"/>
          <w:sz w:val="32"/>
          <w:szCs w:val="32"/>
          <w14:textFill>
            <w14:solidFill>
              <w14:schemeClr w14:val="tx1"/>
            </w14:solidFill>
          </w14:textFill>
        </w:rPr>
        <w:t>〕</w:t>
      </w:r>
      <w:r>
        <w:rPr>
          <w:rFonts w:hint="eastAsia" w:eastAsia="仿宋_GB2312"/>
          <w:color w:val="000000" w:themeColor="text1"/>
          <w:spacing w:val="10"/>
          <w:sz w:val="32"/>
          <w:szCs w:val="32"/>
          <w:lang w:val="en-US" w:eastAsia="zh-CN"/>
          <w14:textFill>
            <w14:solidFill>
              <w14:schemeClr w14:val="tx1"/>
            </w14:solidFill>
          </w14:textFill>
        </w:rPr>
        <w:t>16</w:t>
      </w:r>
      <w:r>
        <w:rPr>
          <w:rFonts w:eastAsia="仿宋_GB2312"/>
          <w:color w:val="000000" w:themeColor="text1"/>
          <w:spacing w:val="10"/>
          <w:sz w:val="32"/>
          <w:szCs w:val="32"/>
          <w14:textFill>
            <w14:solidFill>
              <w14:schemeClr w14:val="tx1"/>
            </w14:solidFill>
          </w14:textFill>
        </w:rPr>
        <w:t>号）同时废止</w:t>
      </w:r>
      <w:r>
        <w:rPr>
          <w:rFonts w:hint="eastAsia" w:eastAsia="仿宋_GB2312"/>
          <w:color w:val="000000" w:themeColor="text1"/>
          <w:spacing w:val="10"/>
          <w:sz w:val="32"/>
          <w:szCs w:val="32"/>
          <w:lang w:eastAsia="zh-CN"/>
          <w14:textFill>
            <w14:solidFill>
              <w14:schemeClr w14:val="tx1"/>
            </w14:solidFill>
          </w14:textFill>
        </w:rPr>
        <w:t>。</w:t>
      </w:r>
    </w:p>
    <w:p w14:paraId="6E67E4A6">
      <w:pPr>
        <w:pStyle w:val="13"/>
        <w:rPr>
          <w:rFonts w:hint="eastAsia" w:eastAsia="仿宋_GB2312"/>
          <w:color w:val="000000" w:themeColor="text1"/>
          <w:spacing w:val="10"/>
          <w:sz w:val="32"/>
          <w:szCs w:val="32"/>
          <w:lang w:eastAsia="zh-CN"/>
          <w14:textFill>
            <w14:solidFill>
              <w14:schemeClr w14:val="tx1"/>
            </w14:solidFill>
          </w14:textFill>
        </w:rPr>
      </w:pPr>
    </w:p>
    <w:p w14:paraId="160819D4">
      <w:pPr>
        <w:pStyle w:val="13"/>
        <w:rPr>
          <w:rFonts w:hint="eastAsia" w:eastAsia="仿宋_GB2312"/>
          <w:color w:val="000000" w:themeColor="text1"/>
          <w:spacing w:val="10"/>
          <w:sz w:val="32"/>
          <w:szCs w:val="32"/>
          <w:lang w:eastAsia="zh-CN"/>
          <w14:textFill>
            <w14:solidFill>
              <w14:schemeClr w14:val="tx1"/>
            </w14:solidFill>
          </w14:textFill>
        </w:rPr>
      </w:pPr>
    </w:p>
    <w:p w14:paraId="03140BD7">
      <w:pPr>
        <w:spacing w:line="336" w:lineRule="auto"/>
        <w:ind w:left="1280" w:hanging="1280" w:hangingChars="400"/>
        <w:rPr>
          <w:rFonts w:hint="default"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附件：1.云南省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烟草制品零售点间距测量规则及标准</w:t>
      </w:r>
    </w:p>
    <w:p w14:paraId="42AC19F8">
      <w:pPr>
        <w:spacing w:line="336" w:lineRule="auto"/>
        <w:ind w:left="0" w:leftChars="0" w:firstLine="960" w:firstLineChars="300"/>
        <w:rPr>
          <w:rFonts w:hint="default" w:ascii="仿宋_GB2312" w:eastAsia="仿宋_GB2312"/>
          <w:color w:val="000000" w:themeColor="text1"/>
          <w:spacing w:val="0"/>
          <w:sz w:val="32"/>
          <w:szCs w:val="32"/>
          <w:lang w:eastAsia="zh-CN"/>
          <w14:textFill>
            <w14:solidFill>
              <w14:schemeClr w14:val="tx1"/>
            </w14:solidFill>
          </w14:textFill>
        </w:rPr>
      </w:pPr>
      <w:r>
        <w:rPr>
          <w:rFonts w:hint="eastAsia" w:ascii="仿宋_GB2312" w:eastAsia="仿宋_GB2312"/>
          <w:color w:val="000000" w:themeColor="text1"/>
          <w:spacing w:val="0"/>
          <w:sz w:val="32"/>
          <w:szCs w:val="32"/>
          <w:lang w:val="en-US" w:eastAsia="zh-CN"/>
          <w14:textFill>
            <w14:solidFill>
              <w14:schemeClr w14:val="tx1"/>
            </w14:solidFill>
          </w14:textFill>
        </w:rPr>
        <w:t>2.</w:t>
      </w:r>
      <w:r>
        <w:rPr>
          <w:rFonts w:hint="default" w:ascii="仿宋_GB2312" w:eastAsia="仿宋_GB2312"/>
          <w:color w:val="000000" w:themeColor="text1"/>
          <w:spacing w:val="0"/>
          <w:sz w:val="32"/>
          <w:szCs w:val="32"/>
          <w:lang w:eastAsia="zh-CN"/>
          <w14:textFill>
            <w14:solidFill>
              <w14:schemeClr w14:val="tx1"/>
            </w14:solidFill>
          </w14:textFill>
        </w:rPr>
        <w:t>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烟草制品零售</w:t>
      </w:r>
    </w:p>
    <w:p w14:paraId="788AC3FF">
      <w:pPr>
        <w:spacing w:line="336" w:lineRule="auto"/>
        <w:ind w:firstLine="1280" w:firstLineChars="400"/>
        <w:rPr>
          <w:rFonts w:hint="default"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点合理布局公示表</w:t>
      </w:r>
    </w:p>
    <w:p w14:paraId="5A1B715E">
      <w:pPr>
        <w:numPr>
          <w:ilvl w:val="-1"/>
          <w:numId w:val="0"/>
        </w:numPr>
        <w:spacing w:line="336" w:lineRule="auto"/>
        <w:ind w:firstLine="960" w:firstLineChars="3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eastAsia" w:ascii="仿宋_GB2312" w:eastAsia="仿宋_GB2312"/>
          <w:color w:val="000000" w:themeColor="text1"/>
          <w:spacing w:val="0"/>
          <w:sz w:val="32"/>
          <w:szCs w:val="32"/>
          <w:lang w:val="en-US" w:eastAsia="zh-CN"/>
          <w14:textFill>
            <w14:solidFill>
              <w14:schemeClr w14:val="tx1"/>
            </w14:solidFill>
          </w14:textFill>
        </w:rPr>
        <w:t>3.</w:t>
      </w:r>
      <w:r>
        <w:rPr>
          <w:rFonts w:hint="default" w:ascii="仿宋_GB2312" w:eastAsia="仿宋_GB2312"/>
          <w:color w:val="000000" w:themeColor="text1"/>
          <w:spacing w:val="0"/>
          <w:sz w:val="32"/>
          <w:szCs w:val="32"/>
          <w:lang w:eastAsia="zh-CN"/>
          <w14:textFill>
            <w14:solidFill>
              <w14:schemeClr w14:val="tx1"/>
            </w14:solidFill>
          </w14:textFill>
        </w:rPr>
        <w:t>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烟草制品零售</w:t>
      </w:r>
    </w:p>
    <w:p w14:paraId="4181C875">
      <w:pPr>
        <w:numPr>
          <w:ilvl w:val="0"/>
          <w:numId w:val="0"/>
        </w:numPr>
        <w:spacing w:line="336" w:lineRule="auto"/>
        <w:ind w:firstLine="1280" w:firstLineChars="4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点合理布局规划网格示意图</w:t>
      </w:r>
    </w:p>
    <w:p w14:paraId="5812FE57">
      <w:pPr>
        <w:numPr>
          <w:ilvl w:val="-1"/>
          <w:numId w:val="0"/>
        </w:numPr>
        <w:spacing w:line="336" w:lineRule="auto"/>
        <w:ind w:firstLine="960" w:firstLineChars="3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eastAsia" w:ascii="仿宋_GB2312" w:eastAsia="仿宋_GB2312"/>
          <w:color w:val="000000" w:themeColor="text1"/>
          <w:spacing w:val="0"/>
          <w:sz w:val="32"/>
          <w:szCs w:val="32"/>
          <w:lang w:val="en-US" w:eastAsia="zh-CN"/>
          <w14:textFill>
            <w14:solidFill>
              <w14:schemeClr w14:val="tx1"/>
            </w14:solidFill>
          </w14:textFill>
        </w:rPr>
        <w:t>4.</w:t>
      </w:r>
      <w:r>
        <w:rPr>
          <w:rFonts w:hint="default" w:ascii="仿宋_GB2312" w:eastAsia="仿宋_GB2312"/>
          <w:color w:val="000000" w:themeColor="text1"/>
          <w:spacing w:val="0"/>
          <w:sz w:val="32"/>
          <w:szCs w:val="32"/>
          <w:lang w:eastAsia="zh-CN"/>
          <w14:textFill>
            <w14:solidFill>
              <w14:schemeClr w14:val="tx1"/>
            </w14:solidFill>
          </w14:textFill>
        </w:rPr>
        <w:t>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雪茄烟专营零</w:t>
      </w:r>
    </w:p>
    <w:p w14:paraId="2E7D79E5">
      <w:pPr>
        <w:numPr>
          <w:ilvl w:val="-1"/>
          <w:numId w:val="0"/>
        </w:numPr>
        <w:spacing w:line="336" w:lineRule="auto"/>
        <w:ind w:firstLine="1280" w:firstLineChars="4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售点合理布局公示表</w:t>
      </w:r>
    </w:p>
    <w:p w14:paraId="766E1A45">
      <w:pPr>
        <w:numPr>
          <w:ilvl w:val="-1"/>
          <w:numId w:val="0"/>
        </w:numPr>
        <w:spacing w:line="336" w:lineRule="auto"/>
        <w:ind w:firstLine="960" w:firstLineChars="3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eastAsia" w:ascii="仿宋_GB2312" w:eastAsia="仿宋_GB2312"/>
          <w:color w:val="000000" w:themeColor="text1"/>
          <w:spacing w:val="0"/>
          <w:sz w:val="32"/>
          <w:szCs w:val="32"/>
          <w:lang w:val="en-US" w:eastAsia="zh-CN"/>
          <w14:textFill>
            <w14:solidFill>
              <w14:schemeClr w14:val="tx1"/>
            </w14:solidFill>
          </w14:textFill>
        </w:rPr>
        <w:t>5.</w:t>
      </w:r>
      <w:r>
        <w:rPr>
          <w:rFonts w:hint="default" w:ascii="仿宋_GB2312" w:eastAsia="仿宋_GB2312"/>
          <w:color w:val="000000" w:themeColor="text1"/>
          <w:spacing w:val="0"/>
          <w:sz w:val="32"/>
          <w:szCs w:val="32"/>
          <w:lang w:eastAsia="zh-CN"/>
          <w14:textFill>
            <w14:solidFill>
              <w14:schemeClr w14:val="tx1"/>
            </w14:solidFill>
          </w14:textFill>
        </w:rPr>
        <w:t>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烟草制品零售</w:t>
      </w:r>
    </w:p>
    <w:p w14:paraId="1E62B911">
      <w:pPr>
        <w:numPr>
          <w:ilvl w:val="0"/>
          <w:numId w:val="0"/>
        </w:numPr>
        <w:spacing w:line="336" w:lineRule="auto"/>
        <w:ind w:firstLine="1280" w:firstLineChars="4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点合理布局规划数动态调整管理制度</w:t>
      </w:r>
    </w:p>
    <w:p w14:paraId="6B1A24C7">
      <w:pPr>
        <w:numPr>
          <w:ilvl w:val="-1"/>
          <w:numId w:val="0"/>
        </w:numPr>
        <w:spacing w:line="336" w:lineRule="auto"/>
        <w:ind w:firstLine="960" w:firstLineChars="300"/>
        <w:textAlignment w:val="auto"/>
        <w:rPr>
          <w:rFonts w:hint="default" w:ascii="仿宋_GB2312" w:eastAsia="仿宋_GB2312"/>
          <w:color w:val="000000" w:themeColor="text1"/>
          <w:spacing w:val="0"/>
          <w:sz w:val="32"/>
          <w:szCs w:val="32"/>
          <w:lang w:eastAsia="zh-CN"/>
          <w14:textFill>
            <w14:solidFill>
              <w14:schemeClr w14:val="tx1"/>
            </w14:solidFill>
          </w14:textFill>
        </w:rPr>
      </w:pPr>
      <w:r>
        <w:rPr>
          <w:rFonts w:hint="eastAsia" w:ascii="仿宋_GB2312" w:eastAsia="仿宋_GB2312"/>
          <w:color w:val="000000" w:themeColor="text1"/>
          <w:spacing w:val="0"/>
          <w:sz w:val="32"/>
          <w:szCs w:val="32"/>
          <w:lang w:val="en-US" w:eastAsia="zh-CN"/>
          <w14:textFill>
            <w14:solidFill>
              <w14:schemeClr w14:val="tx1"/>
            </w14:solidFill>
          </w14:textFill>
        </w:rPr>
        <w:t>6.</w:t>
      </w:r>
      <w:r>
        <w:rPr>
          <w:rFonts w:hint="default" w:ascii="仿宋_GB2312" w:eastAsia="仿宋_GB2312"/>
          <w:color w:val="000000" w:themeColor="text1"/>
          <w:spacing w:val="0"/>
          <w:sz w:val="32"/>
          <w:szCs w:val="32"/>
          <w:lang w:eastAsia="zh-CN"/>
          <w14:textFill>
            <w14:solidFill>
              <w14:schemeClr w14:val="tx1"/>
            </w14:solidFill>
          </w14:textFill>
        </w:rPr>
        <w:t>云南省</w:t>
      </w:r>
      <w:r>
        <w:rPr>
          <w:rFonts w:hint="eastAsia" w:ascii="仿宋_GB2312" w:eastAsia="仿宋_GB2312"/>
          <w:color w:val="000000" w:themeColor="text1"/>
          <w:spacing w:val="0"/>
          <w:sz w:val="32"/>
          <w:szCs w:val="32"/>
          <w:lang w:eastAsia="zh-CN"/>
          <w14:textFill>
            <w14:solidFill>
              <w14:schemeClr w14:val="tx1"/>
            </w14:solidFill>
          </w14:textFill>
        </w:rPr>
        <w:t>元江哈尼族彝族傣族自治县</w:t>
      </w:r>
      <w:r>
        <w:rPr>
          <w:rFonts w:hint="default" w:ascii="仿宋_GB2312" w:eastAsia="仿宋_GB2312"/>
          <w:color w:val="000000" w:themeColor="text1"/>
          <w:spacing w:val="0"/>
          <w:sz w:val="32"/>
          <w:szCs w:val="32"/>
          <w:lang w:eastAsia="zh-CN"/>
          <w14:textFill>
            <w14:solidFill>
              <w14:schemeClr w14:val="tx1"/>
            </w14:solidFill>
          </w14:textFill>
        </w:rPr>
        <w:t>烟草制品零售</w:t>
      </w:r>
    </w:p>
    <w:p w14:paraId="43111F3E">
      <w:pPr>
        <w:numPr>
          <w:ilvl w:val="0"/>
          <w:numId w:val="0"/>
        </w:numPr>
        <w:spacing w:line="336" w:lineRule="auto"/>
        <w:ind w:firstLine="1280" w:firstLineChars="400"/>
        <w:textAlignment w:val="auto"/>
        <w:rPr>
          <w:rFonts w:hint="eastAsia" w:ascii="仿宋_GB2312" w:eastAsia="仿宋_GB2312"/>
          <w:color w:val="000000" w:themeColor="text1"/>
          <w:spacing w:val="0"/>
          <w:sz w:val="32"/>
          <w:szCs w:val="32"/>
          <w:lang w:eastAsia="zh-CN"/>
          <w14:textFill>
            <w14:solidFill>
              <w14:schemeClr w14:val="tx1"/>
            </w14:solidFill>
          </w14:textFill>
        </w:rPr>
      </w:pPr>
      <w:r>
        <w:rPr>
          <w:rFonts w:hint="default" w:ascii="仿宋_GB2312" w:eastAsia="仿宋_GB2312"/>
          <w:color w:val="000000" w:themeColor="text1"/>
          <w:spacing w:val="0"/>
          <w:sz w:val="32"/>
          <w:szCs w:val="32"/>
          <w:lang w:eastAsia="zh-CN"/>
          <w14:textFill>
            <w14:solidFill>
              <w14:schemeClr w14:val="tx1"/>
            </w14:solidFill>
          </w14:textFill>
        </w:rPr>
        <w:t>点排队轮候制度</w:t>
      </w:r>
    </w:p>
    <w:p w14:paraId="656D3CDB">
      <w:pPr>
        <w:keepNext w:val="0"/>
        <w:keepLines w:val="0"/>
        <w:pageBreakBefore w:val="0"/>
        <w:kinsoku/>
        <w:wordWrap/>
        <w:overflowPunct/>
        <w:topLinePunct w:val="0"/>
        <w:autoSpaceDE/>
        <w:autoSpaceDN/>
        <w:bidi w:val="0"/>
        <w:adjustRightInd/>
        <w:snapToGrid/>
        <w:spacing w:line="360" w:lineRule="auto"/>
        <w:rPr>
          <w:rFonts w:hint="eastAsia" w:ascii="宋体" w:hAnsi="宋体" w:cs="宋体"/>
          <w:color w:val="000000" w:themeColor="text1"/>
          <w:spacing w:val="-1"/>
          <w:sz w:val="20"/>
          <w:szCs w:val="22"/>
          <w:lang w:val="en-US" w:eastAsia="zh-CN"/>
          <w14:textFill>
            <w14:solidFill>
              <w14:schemeClr w14:val="tx1"/>
            </w14:solidFill>
          </w14:textFill>
        </w:rPr>
        <w:sectPr>
          <w:footerReference r:id="rId3" w:type="default"/>
          <w:footerReference r:id="rId4" w:type="even"/>
          <w:pgSz w:w="11906" w:h="16838"/>
          <w:pgMar w:top="1440" w:right="1800" w:bottom="1440" w:left="1800" w:header="851" w:footer="992" w:gutter="0"/>
          <w:cols w:space="425" w:num="1"/>
          <w:docGrid w:type="lines" w:linePitch="312" w:charSpace="0"/>
        </w:sectPr>
      </w:pPr>
    </w:p>
    <w:p w14:paraId="53BC5089">
      <w:pPr>
        <w:widowControl/>
        <w:spacing w:before="86" w:line="360" w:lineRule="auto"/>
        <w:jc w:val="left"/>
        <w:rPr>
          <w:rFonts w:ascii="黑体" w:hAnsi="黑体" w:eastAsia="黑体" w:cs="黑体"/>
          <w:color w:val="000000" w:themeColor="text1"/>
          <w:spacing w:val="10"/>
          <w:sz w:val="32"/>
          <w:szCs w:val="32"/>
          <w14:textFill>
            <w14:solidFill>
              <w14:schemeClr w14:val="tx1"/>
            </w14:solidFill>
          </w14:textFill>
        </w:rPr>
      </w:pPr>
      <w:r>
        <w:rPr>
          <w:rFonts w:hint="eastAsia" w:ascii="黑体" w:hAnsi="黑体" w:eastAsia="黑体" w:cs="黑体"/>
          <w:color w:val="000000" w:themeColor="text1"/>
          <w:spacing w:val="10"/>
          <w:sz w:val="32"/>
          <w:szCs w:val="32"/>
          <w14:textFill>
            <w14:solidFill>
              <w14:schemeClr w14:val="tx1"/>
            </w14:solidFill>
          </w14:textFill>
        </w:rPr>
        <w:t>附件1</w:t>
      </w:r>
    </w:p>
    <w:p w14:paraId="4B39A57C">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云南省元江哈尼族彝族傣族自治县</w:t>
      </w:r>
    </w:p>
    <w:p w14:paraId="462935E6">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烟草制品零售点间距测量规则及标准</w:t>
      </w:r>
    </w:p>
    <w:p w14:paraId="03583DFB">
      <w:pPr>
        <w:rPr>
          <w:color w:val="000000" w:themeColor="text1"/>
          <w14:textFill>
            <w14:solidFill>
              <w14:schemeClr w14:val="tx1"/>
            </w14:solidFill>
          </w14:textFill>
        </w:rPr>
      </w:pPr>
    </w:p>
    <w:p w14:paraId="33FB5648">
      <w:pPr>
        <w:widowControl/>
        <w:tabs>
          <w:tab w:val="left" w:pos="2723"/>
        </w:tabs>
        <w:adjustRightInd w:val="0"/>
        <w:snapToGrid w:val="0"/>
        <w:spacing w:before="86" w:line="336"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根据云南省元江哈尼族彝族傣族自治县辖区实际情况，现明确《云南省元江哈尼族彝族傣族自治县烟草制品零售点合理布局规划》第</w:t>
      </w:r>
      <w:r>
        <w:rPr>
          <w:rFonts w:hint="eastAsia" w:ascii="仿宋_GB2312" w:hAnsi="仿宋_GB2312" w:eastAsia="仿宋_GB2312" w:cs="仿宋_GB2312"/>
          <w:color w:val="000000" w:themeColor="text1"/>
          <w:spacing w:val="10"/>
          <w:sz w:val="32"/>
          <w:szCs w:val="32"/>
          <w:lang w:val="en-US" w:eastAsia="zh-CN"/>
          <w14:textFill>
            <w14:solidFill>
              <w14:schemeClr w14:val="tx1"/>
            </w14:solidFill>
          </w14:textFill>
        </w:rPr>
        <w:t>八</w:t>
      </w:r>
      <w:r>
        <w:rPr>
          <w:rFonts w:hint="eastAsia" w:ascii="仿宋_GB2312" w:hAnsi="仿宋_GB2312" w:eastAsia="仿宋_GB2312" w:cs="仿宋_GB2312"/>
          <w:color w:val="000000" w:themeColor="text1"/>
          <w:spacing w:val="10"/>
          <w:sz w:val="32"/>
          <w:szCs w:val="32"/>
          <w14:textFill>
            <w14:solidFill>
              <w14:schemeClr w14:val="tx1"/>
            </w14:solidFill>
          </w14:textFill>
        </w:rPr>
        <w:t>条中有关的“零售点间距”测量规则及标准如下：</w:t>
      </w:r>
    </w:p>
    <w:p w14:paraId="66FE8D92">
      <w:pPr>
        <w:widowControl/>
        <w:adjustRightInd w:val="0"/>
        <w:snapToGrid w:val="0"/>
        <w:spacing w:before="86" w:line="336" w:lineRule="auto"/>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一、测量规则</w:t>
      </w:r>
    </w:p>
    <w:p w14:paraId="1504EAE3">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（一）现场核查零售点间距的测量以“可安全步行最短距离”为总体原则，其他未穷尽列举的情形均参照本原则测量。</w:t>
      </w:r>
    </w:p>
    <w:p w14:paraId="1D1A544F">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（二）应当使用符合国家距离测量标准的测量工具。</w:t>
      </w:r>
    </w:p>
    <w:p w14:paraId="07B58853">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（三）“零售点间距”是指申请点与参照零售点（周边已设最近的零售点）之间按“门边到门边”原则进行测量。测量数据精确到小数点后一位，如“30.0米”或“100.0米”。</w:t>
      </w:r>
    </w:p>
    <w:p w14:paraId="0213923D">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四）实地测量时，由两名及以上烟草专卖执法核查人员在申请人或代理人现场见证下完成。最后由申请人或代理人对测量工具、测量过程、测量结果进行书面签字确认。申请人或代理人拒绝签字的，由核查人员在实地核查记录上注明情况，由见证人签字。测量过程应当全过程记录，包括但不限于文字记录和音像记录。</w:t>
      </w:r>
    </w:p>
    <w:p w14:paraId="38F50F9D">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五）测量间距距离时，测量结果介于零售点间距距离的标准值正负百分之二范围以内的情况下，如果申请人、代理人或利害关系人对该结果有异议，可以申请重新实地测量一次，以最后一次测量结果为准。测量时，申请人或代理人、利害关系人和烟草专卖执法核查人员须同时全程在场。</w:t>
      </w:r>
    </w:p>
    <w:p w14:paraId="51DF4D0C">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（六）政府有关部门在街道或道路中设置的行人隔离带（栏）、绿化带等视为障碍物，测量时应当按道路交通规则绕行。</w:t>
      </w:r>
    </w:p>
    <w:p w14:paraId="1F77A011">
      <w:pPr>
        <w:adjustRightInd w:val="0"/>
        <w:snapToGrid w:val="0"/>
        <w:spacing w:line="336" w:lineRule="auto"/>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（七）不视为障碍物的情形：在通行道路上临时设置的安全设施；临时放置的建筑材料、物品、车辆等；擅自设立、建造的建筑物、构筑物或其他物体等；以及因施工影响通行的围挡设施。</w:t>
      </w:r>
    </w:p>
    <w:p w14:paraId="2598D132">
      <w:pPr>
        <w:widowControl/>
        <w:adjustRightInd w:val="0"/>
        <w:snapToGrid w:val="0"/>
        <w:spacing w:before="86" w:line="336" w:lineRule="auto"/>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二、测量标准</w:t>
      </w:r>
    </w:p>
    <w:p w14:paraId="159B068E">
      <w:pPr>
        <w:pStyle w:val="4"/>
        <w:adjustRightInd w:val="0"/>
        <w:snapToGrid w:val="0"/>
        <w:spacing w:after="0" w:line="336"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（一）店面同一侧无障碍物距离测量示意图，</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间距。（如图1）</w:t>
      </w:r>
    </w:p>
    <w:p w14:paraId="0FBC971D">
      <w:pPr>
        <w:pStyle w:val="4"/>
        <w:spacing w:after="0" w:line="360" w:lineRule="auto"/>
        <w:ind w:right="2"/>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3970020" cy="1748155"/>
            <wp:effectExtent l="0" t="0" r="11430" b="4445"/>
            <wp:docPr id="23" name="图片 23" descr="微信图片_20231212104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微信图片_20231212104854"/>
                    <pic:cNvPicPr>
                      <a:picLocks noChangeAspect="1"/>
                    </pic:cNvPicPr>
                  </pic:nvPicPr>
                  <pic:blipFill>
                    <a:blip r:embed="rId6"/>
                    <a:stretch>
                      <a:fillRect/>
                    </a:stretch>
                  </pic:blipFill>
                  <pic:spPr>
                    <a:xfrm>
                      <a:off x="0" y="0"/>
                      <a:ext cx="3970020" cy="1748155"/>
                    </a:xfrm>
                    <a:prstGeom prst="rect">
                      <a:avLst/>
                    </a:prstGeom>
                  </pic:spPr>
                </pic:pic>
              </a:graphicData>
            </a:graphic>
          </wp:inline>
        </w:drawing>
      </w:r>
    </w:p>
    <w:p w14:paraId="46138297">
      <w:pPr>
        <w:pStyle w:val="4"/>
        <w:spacing w:after="0" w:line="360" w:lineRule="auto"/>
        <w:ind w:left="420" w:leftChars="200" w:right="2" w:firstLine="680" w:firstLineChars="200"/>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图1</w:t>
      </w:r>
    </w:p>
    <w:p w14:paraId="06EEE96B">
      <w:pPr>
        <w:pStyle w:val="4"/>
        <w:adjustRightInd w:val="0"/>
        <w:snapToGrid w:val="0"/>
        <w:spacing w:after="0" w:line="336"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（二）店面同一侧有障碍物距离测量示意图，</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间距=a+b+c+d+e。（如图2）</w:t>
      </w:r>
    </w:p>
    <w:p w14:paraId="0A60E439">
      <w:pPr>
        <w:pStyle w:val="4"/>
        <w:spacing w:after="0" w:line="360" w:lineRule="auto"/>
        <w:ind w:right="2" w:firstLine="643"/>
        <w:jc w:val="center"/>
        <w:rPr>
          <w:rFonts w:ascii="仿宋_GB2312" w:hAnsi="仿宋_GB2312" w:eastAsia="仿宋_GB2312" w:cs="仿宋_GB2312"/>
          <w:b/>
          <w:bCs/>
          <w:color w:val="000000" w:themeColor="text1"/>
          <w:spacing w:val="10"/>
          <w:sz w:val="32"/>
          <w:szCs w:val="32"/>
          <w14:textFill>
            <w14:solidFill>
              <w14:schemeClr w14:val="tx1"/>
            </w14:solidFill>
          </w14:textFill>
        </w:rPr>
      </w:pPr>
      <w:r>
        <w:rPr>
          <w:rFonts w:hint="eastAsia" w:ascii="仿宋_GB2312" w:hAnsi="仿宋_GB2312" w:eastAsia="仿宋_GB2312" w:cs="仿宋_GB2312"/>
          <w:b/>
          <w:bCs/>
          <w:color w:val="000000" w:themeColor="text1"/>
          <w:spacing w:val="10"/>
          <w:sz w:val="32"/>
          <w:szCs w:val="32"/>
          <w14:textFill>
            <w14:solidFill>
              <w14:schemeClr w14:val="tx1"/>
            </w14:solidFill>
          </w14:textFill>
        </w:rPr>
        <w:drawing>
          <wp:inline distT="0" distB="0" distL="114300" distR="114300">
            <wp:extent cx="5228590" cy="1883410"/>
            <wp:effectExtent l="0" t="0" r="10160" b="2540"/>
            <wp:docPr id="13" name="图片 13" descr="95a3e317d608213e56999ba429828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5a3e317d608213e56999ba429828da"/>
                    <pic:cNvPicPr>
                      <a:picLocks noChangeAspect="1"/>
                    </pic:cNvPicPr>
                  </pic:nvPicPr>
                  <pic:blipFill>
                    <a:blip r:embed="rId7"/>
                    <a:stretch>
                      <a:fillRect/>
                    </a:stretch>
                  </pic:blipFill>
                  <pic:spPr>
                    <a:xfrm>
                      <a:off x="0" y="0"/>
                      <a:ext cx="5240217" cy="1887838"/>
                    </a:xfrm>
                    <a:prstGeom prst="rect">
                      <a:avLst/>
                    </a:prstGeom>
                  </pic:spPr>
                </pic:pic>
              </a:graphicData>
            </a:graphic>
          </wp:inline>
        </w:drawing>
      </w:r>
    </w:p>
    <w:p w14:paraId="0F5202C9">
      <w:pPr>
        <w:pStyle w:val="4"/>
        <w:spacing w:after="0" w:line="360" w:lineRule="auto"/>
        <w:ind w:right="2" w:firstLine="680" w:firstLineChars="200"/>
        <w:jc w:val="center"/>
        <w:rPr>
          <w:rFonts w:ascii="仿宋_GB2312" w:hAnsi="仿宋_GB2312" w:eastAsia="仿宋_GB2312" w:cs="仿宋_GB2312"/>
          <w:color w:val="000000" w:themeColor="text1"/>
          <w:sz w:val="32"/>
          <w:szCs w:val="32"/>
          <w:lang w:bidi="ug-CN"/>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图2</w:t>
      </w:r>
    </w:p>
    <w:p w14:paraId="4B96A93E">
      <w:pPr>
        <w:pStyle w:val="4"/>
        <w:spacing w:after="0" w:line="360" w:lineRule="auto"/>
        <w:ind w:right="2" w:firstLine="64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异侧无障碍物，且道路无隔离带（包括无任何禁止通行交通标志的路段或有可通行的单虚线）和斑马线情形，可安全步行的。</w:t>
      </w:r>
    </w:p>
    <w:p w14:paraId="70120B8F">
      <w:pPr>
        <w:pStyle w:val="4"/>
        <w:spacing w:after="0" w:line="360" w:lineRule="auto"/>
        <w:ind w:right="2" w:firstLine="68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1</w:t>
      </w:r>
      <w:r>
        <w:rPr>
          <w:rFonts w:ascii="仿宋_GB2312" w:hAnsi="仿宋_GB2312" w:eastAsia="仿宋_GB2312" w:cs="仿宋_GB2312"/>
          <w:color w:val="000000" w:themeColor="text1"/>
          <w:spacing w:val="10"/>
          <w:sz w:val="32"/>
          <w:szCs w:val="32"/>
          <w14:textFill>
            <w14:solidFill>
              <w14:schemeClr w14:val="tx1"/>
            </w14:solidFill>
          </w14:textFill>
        </w:rPr>
        <w:t>.</w:t>
      </w:r>
      <w:r>
        <w:rPr>
          <w:rFonts w:hint="eastAsia" w:ascii="仿宋_GB2312" w:hAnsi="仿宋_GB2312" w:eastAsia="仿宋_GB2312" w:cs="仿宋_GB2312"/>
          <w:color w:val="000000" w:themeColor="text1"/>
          <w:spacing w:val="10"/>
          <w:sz w:val="32"/>
          <w:szCs w:val="32"/>
          <w14:textFill>
            <w14:solidFill>
              <w14:schemeClr w14:val="tx1"/>
            </w14:solidFill>
          </w14:textFill>
        </w:rPr>
        <w:t>申请点与参照零售点对称的，间距=a（如图3.1）</w:t>
      </w:r>
    </w:p>
    <w:p w14:paraId="08A824C3">
      <w:pPr>
        <w:pStyle w:val="4"/>
        <w:spacing w:after="0" w:line="360" w:lineRule="auto"/>
        <w:ind w:right="3" w:firstLine="64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4934585" cy="2446020"/>
            <wp:effectExtent l="0" t="0" r="18415" b="11430"/>
            <wp:docPr id="2" name="图片 2" descr="63bdaea5065e1670b86833570500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3bdaea5065e1670b868335705003e0"/>
                    <pic:cNvPicPr>
                      <a:picLocks noChangeAspect="1"/>
                    </pic:cNvPicPr>
                  </pic:nvPicPr>
                  <pic:blipFill>
                    <a:blip r:embed="rId8"/>
                    <a:stretch>
                      <a:fillRect/>
                    </a:stretch>
                  </pic:blipFill>
                  <pic:spPr>
                    <a:xfrm>
                      <a:off x="0" y="0"/>
                      <a:ext cx="4934585" cy="2446020"/>
                    </a:xfrm>
                    <a:prstGeom prst="rect">
                      <a:avLst/>
                    </a:prstGeom>
                  </pic:spPr>
                </pic:pic>
              </a:graphicData>
            </a:graphic>
          </wp:inline>
        </w:drawing>
      </w:r>
    </w:p>
    <w:p w14:paraId="5BA84B37">
      <w:pPr>
        <w:pStyle w:val="4"/>
        <w:spacing w:after="0" w:line="360" w:lineRule="auto"/>
        <w:ind w:right="3"/>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图3.1</w:t>
      </w:r>
    </w:p>
    <w:p w14:paraId="59EF0D92">
      <w:pPr>
        <w:pStyle w:val="4"/>
        <w:spacing w:after="0" w:line="360" w:lineRule="auto"/>
        <w:ind w:right="2" w:firstLine="64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pacing w:val="10"/>
          <w:sz w:val="32"/>
          <w:szCs w:val="32"/>
          <w14:textFill>
            <w14:solidFill>
              <w14:schemeClr w14:val="tx1"/>
            </w14:solidFill>
          </w14:textFill>
        </w:rPr>
        <w:t>申请点与参照零售点不对称的，间距=b（如图3.2）</w:t>
      </w:r>
    </w:p>
    <w:p w14:paraId="29639889">
      <w:pPr>
        <w:pStyle w:val="4"/>
        <w:spacing w:after="0" w:line="360" w:lineRule="auto"/>
        <w:ind w:right="2"/>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5015865" cy="2638425"/>
            <wp:effectExtent l="0" t="0" r="13335" b="9525"/>
            <wp:docPr id="3" name="图片 3" descr="fae0954c900ff944af7dff9ce51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ae0954c900ff944af7dff9ce511727"/>
                    <pic:cNvPicPr>
                      <a:picLocks noChangeAspect="1"/>
                    </pic:cNvPicPr>
                  </pic:nvPicPr>
                  <pic:blipFill>
                    <a:blip r:embed="rId9"/>
                    <a:stretch>
                      <a:fillRect/>
                    </a:stretch>
                  </pic:blipFill>
                  <pic:spPr>
                    <a:xfrm>
                      <a:off x="0" y="0"/>
                      <a:ext cx="5015865" cy="2638425"/>
                    </a:xfrm>
                    <a:prstGeom prst="rect">
                      <a:avLst/>
                    </a:prstGeom>
                  </pic:spPr>
                </pic:pic>
              </a:graphicData>
            </a:graphic>
          </wp:inline>
        </w:drawing>
      </w:r>
    </w:p>
    <w:p w14:paraId="0FF25BE4">
      <w:pPr>
        <w:pStyle w:val="4"/>
        <w:spacing w:after="0" w:line="360" w:lineRule="auto"/>
        <w:ind w:left="420" w:leftChars="200" w:right="2" w:firstLine="680" w:firstLineChars="200"/>
        <w:jc w:val="center"/>
        <w:rPr>
          <w:rFonts w:ascii="仿宋_GB2312" w:hAnsi="仿宋_GB2312" w:eastAsia="仿宋_GB2312" w:cs="仿宋_GB2312"/>
          <w:color w:val="000000" w:themeColor="text1"/>
          <w:sz w:val="32"/>
          <w:szCs w:val="32"/>
          <w:lang w:bidi="ug-CN"/>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图3.2</w:t>
      </w:r>
      <w:r>
        <w:rPr>
          <w:rFonts w:hint="eastAsia" w:ascii="仿宋_GB2312" w:hAnsi="仿宋_GB2312" w:eastAsia="仿宋_GB2312" w:cs="仿宋_GB2312"/>
          <w:color w:val="000000" w:themeColor="text1"/>
          <w:sz w:val="32"/>
          <w:szCs w:val="32"/>
          <w:lang w:bidi="ug-CN"/>
          <w14:textFill>
            <w14:solidFill>
              <w14:schemeClr w14:val="tx1"/>
            </w14:solidFill>
          </w14:textFill>
        </w:rPr>
        <w:tab/>
      </w:r>
    </w:p>
    <w:p w14:paraId="7C4BB51B">
      <w:pPr>
        <w:pStyle w:val="4"/>
        <w:spacing w:after="0" w:line="360" w:lineRule="auto"/>
        <w:ind w:right="2" w:firstLine="64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异侧存在障碍物的，测量按直角分段绕过障碍物测量，分段距离之和即为申请人的经营场所与最近零售点的经营场所间的距离。间距=a+b+c（如图4）</w:t>
      </w:r>
    </w:p>
    <w:p w14:paraId="00BE3FEA">
      <w:pPr>
        <w:pStyle w:val="4"/>
        <w:tabs>
          <w:tab w:val="left" w:pos="8197"/>
        </w:tabs>
        <w:spacing w:after="0" w:line="360" w:lineRule="auto"/>
        <w:ind w:right="3" w:firstLine="640" w:firstLineChars="200"/>
        <w:jc w:val="center"/>
        <w:rPr>
          <w:rFonts w:ascii="仿宋_GB2312" w:hAnsi="仿宋_GB2312" w:eastAsia="仿宋_GB2312" w:cs="仿宋_GB2312"/>
          <w:color w:val="000000" w:themeColor="text1"/>
          <w:sz w:val="32"/>
          <w:szCs w:val="32"/>
          <w:lang w:bidi="ug-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5194300" cy="2531745"/>
            <wp:effectExtent l="0" t="0" r="6350" b="1905"/>
            <wp:docPr id="15" name="图片 15" descr="93bb69265f29e745628043b5bcf20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bb69265f29e745628043b5bcf20da"/>
                    <pic:cNvPicPr>
                      <a:picLocks noChangeAspect="1"/>
                    </pic:cNvPicPr>
                  </pic:nvPicPr>
                  <pic:blipFill>
                    <a:blip r:embed="rId10"/>
                    <a:stretch>
                      <a:fillRect/>
                    </a:stretch>
                  </pic:blipFill>
                  <pic:spPr>
                    <a:xfrm>
                      <a:off x="0" y="0"/>
                      <a:ext cx="5194300" cy="2531745"/>
                    </a:xfrm>
                    <a:prstGeom prst="rect">
                      <a:avLst/>
                    </a:prstGeom>
                  </pic:spPr>
                </pic:pic>
              </a:graphicData>
            </a:graphic>
          </wp:inline>
        </w:drawing>
      </w:r>
    </w:p>
    <w:p w14:paraId="19F47C7E">
      <w:pPr>
        <w:pStyle w:val="4"/>
        <w:tabs>
          <w:tab w:val="left" w:pos="8197"/>
        </w:tabs>
        <w:spacing w:after="0" w:line="360" w:lineRule="auto"/>
        <w:ind w:right="3" w:firstLine="640" w:firstLineChars="200"/>
        <w:jc w:val="center"/>
        <w:rPr>
          <w:rFonts w:ascii="仿宋_GB2312" w:hAnsi="仿宋_GB2312" w:eastAsia="仿宋_GB2312" w:cs="仿宋_GB2312"/>
          <w:color w:val="000000" w:themeColor="text1"/>
          <w:sz w:val="32"/>
          <w:szCs w:val="32"/>
          <w:lang w:bidi="ug-CN"/>
          <w14:textFill>
            <w14:solidFill>
              <w14:schemeClr w14:val="tx1"/>
            </w14:solidFill>
          </w14:textFill>
        </w:rPr>
      </w:pPr>
      <w:r>
        <w:rPr>
          <w:rFonts w:hint="eastAsia" w:ascii="仿宋_GB2312" w:hAnsi="仿宋_GB2312" w:eastAsia="仿宋_GB2312" w:cs="仿宋_GB2312"/>
          <w:color w:val="000000" w:themeColor="text1"/>
          <w:sz w:val="32"/>
          <w:szCs w:val="32"/>
          <w:lang w:bidi="ug-CN"/>
          <w14:textFill>
            <w14:solidFill>
              <w14:schemeClr w14:val="tx1"/>
            </w14:solidFill>
          </w14:textFill>
        </w:rPr>
        <w:t>图4</w:t>
      </w:r>
    </w:p>
    <w:p w14:paraId="13DE6A05">
      <w:pPr>
        <w:pStyle w:val="4"/>
        <w:spacing w:after="0" w:line="360"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（五）店面背靠背距离测量示意图，</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间距=a+b+c。（如图5）</w:t>
      </w:r>
    </w:p>
    <w:p w14:paraId="49630AE0">
      <w:pPr>
        <w:pStyle w:val="4"/>
        <w:spacing w:after="0" w:line="360" w:lineRule="auto"/>
        <w:ind w:right="3" w:firstLine="420" w:firstLineChars="200"/>
        <w:jc w:val="center"/>
        <w:rPr>
          <w:rFonts w:ascii="仿宋_GB2312" w:hAnsi="仿宋_GB2312" w:eastAsia="仿宋_GB2312" w:cs="仿宋_GB2312"/>
          <w:color w:val="000000" w:themeColor="text1"/>
          <w:spacing w:val="10"/>
          <w:sz w:val="32"/>
          <w:szCs w:val="32"/>
          <w14:textFill>
            <w14:solidFill>
              <w14:schemeClr w14:val="tx1"/>
            </w14:solidFill>
          </w14:textFill>
        </w:rPr>
      </w:pPr>
      <w:r>
        <w:rPr>
          <w:color w:val="000000" w:themeColor="text1"/>
          <w14:textFill>
            <w14:solidFill>
              <w14:schemeClr w14:val="tx1"/>
            </w14:solidFill>
          </w14:textFill>
        </w:rPr>
        <w:drawing>
          <wp:inline distT="0" distB="0" distL="114300" distR="114300">
            <wp:extent cx="3772535" cy="1860550"/>
            <wp:effectExtent l="0" t="0" r="18415"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clrChange>
                        <a:clrFrom>
                          <a:srgbClr val="FEFFFA">
                            <a:alpha val="100000"/>
                          </a:srgbClr>
                        </a:clrFrom>
                        <a:clrTo>
                          <a:srgbClr val="FEFFFA">
                            <a:alpha val="100000"/>
                            <a:alpha val="0"/>
                          </a:srgbClr>
                        </a:clrTo>
                      </a:clrChange>
                    </a:blip>
                    <a:stretch>
                      <a:fillRect/>
                    </a:stretch>
                  </pic:blipFill>
                  <pic:spPr>
                    <a:xfrm>
                      <a:off x="0" y="0"/>
                      <a:ext cx="3790630" cy="1869650"/>
                    </a:xfrm>
                    <a:prstGeom prst="rect">
                      <a:avLst/>
                    </a:prstGeom>
                    <a:noFill/>
                    <a:ln>
                      <a:noFill/>
                    </a:ln>
                  </pic:spPr>
                </pic:pic>
              </a:graphicData>
            </a:graphic>
          </wp:inline>
        </w:drawing>
      </w:r>
    </w:p>
    <w:p w14:paraId="5E3D363A">
      <w:pPr>
        <w:pStyle w:val="4"/>
        <w:spacing w:after="0" w:line="360" w:lineRule="auto"/>
        <w:ind w:right="3" w:firstLine="680" w:firstLineChars="200"/>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图5</w:t>
      </w:r>
    </w:p>
    <w:p w14:paraId="510B9ABF">
      <w:pPr>
        <w:pStyle w:val="4"/>
        <w:spacing w:after="0" w:line="360"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（六）店面隔着街道转角的，分别计算沿街店面的两边距离再相加，</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间距=a+b。（如图6）</w:t>
      </w:r>
    </w:p>
    <w:p w14:paraId="41935058">
      <w:pPr>
        <w:pStyle w:val="4"/>
        <w:spacing w:after="0" w:line="360" w:lineRule="auto"/>
        <w:ind w:right="64"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4768850" cy="2709545"/>
            <wp:effectExtent l="0" t="0" r="12700" b="14605"/>
            <wp:docPr id="33" name="图片 33" descr="e4103bb42dbf83929f4d95fca555f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e4103bb42dbf83929f4d95fca555fcf"/>
                    <pic:cNvPicPr>
                      <a:picLocks noChangeAspect="1"/>
                    </pic:cNvPicPr>
                  </pic:nvPicPr>
                  <pic:blipFill>
                    <a:blip r:embed="rId12"/>
                    <a:srcRect t="17596"/>
                    <a:stretch>
                      <a:fillRect/>
                    </a:stretch>
                  </pic:blipFill>
                  <pic:spPr>
                    <a:xfrm>
                      <a:off x="0" y="0"/>
                      <a:ext cx="4768850" cy="2709545"/>
                    </a:xfrm>
                    <a:prstGeom prst="rect">
                      <a:avLst/>
                    </a:prstGeom>
                  </pic:spPr>
                </pic:pic>
              </a:graphicData>
            </a:graphic>
          </wp:inline>
        </w:drawing>
      </w:r>
    </w:p>
    <w:p w14:paraId="257FFBA9">
      <w:pPr>
        <w:pStyle w:val="4"/>
        <w:spacing w:after="0" w:line="360" w:lineRule="auto"/>
        <w:ind w:right="64" w:firstLine="68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图6</w:t>
      </w:r>
    </w:p>
    <w:p w14:paraId="3C583AF1">
      <w:pPr>
        <w:pStyle w:val="4"/>
        <w:spacing w:after="0" w:line="360"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（七）十字路口</w:t>
      </w:r>
    </w:p>
    <w:p w14:paraId="472728BB">
      <w:pPr>
        <w:pStyle w:val="4"/>
        <w:spacing w:after="0" w:line="360" w:lineRule="auto"/>
        <w:ind w:right="64"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申请点与参照零售点在十字路口中轴线同一半侧的道路对侧的，可参照道路对侧情况进行测量，按申请点门边至零售点门边</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w:t>
      </w:r>
      <w:r>
        <w:rPr>
          <w:rFonts w:hint="eastAsia" w:ascii="仿宋_GB2312" w:hAnsi="仿宋_GB2312" w:eastAsia="仿宋_GB2312" w:cs="仿宋_GB2312"/>
          <w:color w:val="000000" w:themeColor="text1"/>
          <w:sz w:val="32"/>
          <w:szCs w:val="32"/>
          <w14:textFill>
            <w14:solidFill>
              <w14:schemeClr w14:val="tx1"/>
            </w14:solidFill>
          </w14:textFill>
        </w:rPr>
        <w:t>测量。具体测量办法视有无交通信号灯、人行横道或过街设施的路段以及障碍物情况而定。（如图7.1）</w:t>
      </w:r>
    </w:p>
    <w:p w14:paraId="52B2CBD7">
      <w:pPr>
        <w:pStyle w:val="4"/>
        <w:spacing w:after="0" w:line="360" w:lineRule="auto"/>
        <w:ind w:right="64"/>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3064510" cy="2741930"/>
            <wp:effectExtent l="0" t="0" r="2540" b="1270"/>
            <wp:docPr id="29" name="图片 29" descr="微信图片_20231212104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微信图片_20231212104934"/>
                    <pic:cNvPicPr>
                      <a:picLocks noChangeAspect="1"/>
                    </pic:cNvPicPr>
                  </pic:nvPicPr>
                  <pic:blipFill>
                    <a:blip r:embed="rId13"/>
                    <a:stretch>
                      <a:fillRect/>
                    </a:stretch>
                  </pic:blipFill>
                  <pic:spPr>
                    <a:xfrm>
                      <a:off x="0" y="0"/>
                      <a:ext cx="3064510" cy="2741930"/>
                    </a:xfrm>
                    <a:prstGeom prst="rect">
                      <a:avLst/>
                    </a:prstGeom>
                  </pic:spPr>
                </pic:pic>
              </a:graphicData>
            </a:graphic>
          </wp:inline>
        </w:drawing>
      </w:r>
    </w:p>
    <w:p w14:paraId="4E4BF701">
      <w:pPr>
        <w:pStyle w:val="4"/>
        <w:spacing w:after="0" w:line="360" w:lineRule="auto"/>
        <w:ind w:right="64"/>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图7.1</w:t>
      </w:r>
    </w:p>
    <w:p w14:paraId="4B1E47F5">
      <w:pPr>
        <w:pStyle w:val="4"/>
        <w:adjustRightInd w:val="0"/>
        <w:snapToGrid w:val="0"/>
        <w:spacing w:after="0" w:line="336" w:lineRule="auto"/>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十字路口对角（有交通信号灯、人行横道或过街设施）</w:t>
      </w:r>
    </w:p>
    <w:p w14:paraId="6A1125A9">
      <w:pPr>
        <w:pStyle w:val="4"/>
        <w:adjustRightInd w:val="0"/>
        <w:snapToGrid w:val="0"/>
        <w:spacing w:after="0" w:line="336" w:lineRule="auto"/>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申请点与参照零售点位于十字路口对角位置的，且路口中间设有交通信号灯、人行横道或过街设施的，应按照交通规则，通过人行横道或过街设施，按申请点门边至零售点门边</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w:t>
      </w:r>
      <w:r>
        <w:rPr>
          <w:rFonts w:hint="eastAsia" w:ascii="仿宋_GB2312" w:hAnsi="仿宋_GB2312" w:eastAsia="仿宋_GB2312" w:cs="仿宋_GB2312"/>
          <w:color w:val="000000" w:themeColor="text1"/>
          <w:sz w:val="32"/>
          <w:szCs w:val="32"/>
          <w14:textFill>
            <w14:solidFill>
              <w14:schemeClr w14:val="tx1"/>
            </w14:solidFill>
          </w14:textFill>
        </w:rPr>
        <w:t>测量。（如图7.2中存在a、b两条线路，取其中一条</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可安全步行最短距离线路测量</w:t>
      </w:r>
      <w:r>
        <w:rPr>
          <w:rFonts w:hint="eastAsia" w:ascii="仿宋_GB2312" w:hAnsi="仿宋_GB2312" w:eastAsia="仿宋_GB2312" w:cs="仿宋_GB2312"/>
          <w:color w:val="000000" w:themeColor="text1"/>
          <w:sz w:val="32"/>
          <w:szCs w:val="32"/>
          <w14:textFill>
            <w14:solidFill>
              <w14:schemeClr w14:val="tx1"/>
            </w14:solidFill>
          </w14:textFill>
        </w:rPr>
        <w:t>）</w:t>
      </w:r>
    </w:p>
    <w:p w14:paraId="3A1BBDBD">
      <w:pPr>
        <w:pStyle w:val="4"/>
        <w:spacing w:after="0" w:line="360" w:lineRule="auto"/>
        <w:ind w:right="64"/>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2743200" cy="2445385"/>
            <wp:effectExtent l="0" t="0" r="0" b="12065"/>
            <wp:docPr id="20" name="图片 20" descr="e3dd04eb18af5a2a848cca0133a5d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e3dd04eb18af5a2a848cca0133a5d97"/>
                    <pic:cNvPicPr>
                      <a:picLocks noChangeAspect="1"/>
                    </pic:cNvPicPr>
                  </pic:nvPicPr>
                  <pic:blipFill>
                    <a:blip r:embed="rId14"/>
                    <a:stretch>
                      <a:fillRect/>
                    </a:stretch>
                  </pic:blipFill>
                  <pic:spPr>
                    <a:xfrm>
                      <a:off x="0" y="0"/>
                      <a:ext cx="2782892" cy="2481288"/>
                    </a:xfrm>
                    <a:prstGeom prst="rect">
                      <a:avLst/>
                    </a:prstGeom>
                  </pic:spPr>
                </pic:pic>
              </a:graphicData>
            </a:graphic>
          </wp:inline>
        </w:drawing>
      </w:r>
    </w:p>
    <w:p w14:paraId="3E47347C">
      <w:pPr>
        <w:pStyle w:val="4"/>
        <w:spacing w:after="0" w:line="360" w:lineRule="auto"/>
        <w:ind w:left="420" w:leftChars="200" w:right="64" w:firstLine="3200" w:firstLineChars="10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图7.2</w:t>
      </w:r>
    </w:p>
    <w:p w14:paraId="7FC11054">
      <w:pPr>
        <w:pStyle w:val="4"/>
        <w:adjustRightInd w:val="0"/>
        <w:snapToGrid w:val="0"/>
        <w:spacing w:after="0" w:line="336" w:lineRule="auto"/>
        <w:ind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十字路口对角（无交通信号灯、人行横道或过街设施）</w:t>
      </w:r>
    </w:p>
    <w:p w14:paraId="5894D925">
      <w:pPr>
        <w:pStyle w:val="4"/>
        <w:adjustRightInd w:val="0"/>
        <w:snapToGrid w:val="0"/>
        <w:spacing w:after="0"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申请点与参照零售点位于十字路口对角位置的，且路口中间未设有交通信号灯、人行横道或过街设施的，按申请点门边至零售点门边</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w:t>
      </w:r>
      <w:r>
        <w:rPr>
          <w:rFonts w:hint="eastAsia" w:ascii="仿宋_GB2312" w:hAnsi="仿宋_GB2312" w:eastAsia="仿宋_GB2312" w:cs="仿宋_GB2312"/>
          <w:color w:val="000000" w:themeColor="text1"/>
          <w:sz w:val="32"/>
          <w:szCs w:val="32"/>
          <w14:textFill>
            <w14:solidFill>
              <w14:schemeClr w14:val="tx1"/>
            </w14:solidFill>
          </w14:textFill>
        </w:rPr>
        <w:t>测量。（图7.3）</w:t>
      </w:r>
    </w:p>
    <w:p w14:paraId="586D868D">
      <w:pPr>
        <w:pStyle w:val="4"/>
        <w:spacing w:after="0" w:line="360" w:lineRule="auto"/>
        <w:ind w:right="64"/>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2703830" cy="2475865"/>
            <wp:effectExtent l="0" t="0" r="1270" b="635"/>
            <wp:docPr id="21" name="图片 21" descr="00184291e613f2b487271c531d8ed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00184291e613f2b487271c531d8edb7"/>
                    <pic:cNvPicPr>
                      <a:picLocks noChangeAspect="1"/>
                    </pic:cNvPicPr>
                  </pic:nvPicPr>
                  <pic:blipFill>
                    <a:blip r:embed="rId15"/>
                    <a:stretch>
                      <a:fillRect/>
                    </a:stretch>
                  </pic:blipFill>
                  <pic:spPr>
                    <a:xfrm>
                      <a:off x="0" y="0"/>
                      <a:ext cx="2703830" cy="2475865"/>
                    </a:xfrm>
                    <a:prstGeom prst="rect">
                      <a:avLst/>
                    </a:prstGeom>
                  </pic:spPr>
                </pic:pic>
              </a:graphicData>
            </a:graphic>
          </wp:inline>
        </w:drawing>
      </w:r>
    </w:p>
    <w:p w14:paraId="24E06EB9">
      <w:pPr>
        <w:pStyle w:val="4"/>
        <w:spacing w:after="0" w:line="360" w:lineRule="auto"/>
        <w:ind w:right="64"/>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图7.3</w:t>
      </w:r>
    </w:p>
    <w:p w14:paraId="14AD9C08">
      <w:pPr>
        <w:pStyle w:val="4"/>
        <w:adjustRightInd w:val="0"/>
        <w:snapToGrid w:val="0"/>
        <w:spacing w:after="0" w:line="336"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（八）中小学校、幼儿园的测量起始点为学校正常出入的校门口。有多个进出通道口的，选择距离零售点最短的进出通道口的门边，作为测量起始点。</w:t>
      </w:r>
    </w:p>
    <w:p w14:paraId="5D27FBBF">
      <w:pPr>
        <w:pStyle w:val="4"/>
        <w:adjustRightInd w:val="0"/>
        <w:snapToGrid w:val="0"/>
        <w:spacing w:after="0" w:line="336"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申请点与中小学校、幼儿园通道口之间距离测量示意图。（如图8）</w:t>
      </w:r>
    </w:p>
    <w:p w14:paraId="50EC028B">
      <w:pPr>
        <w:spacing w:line="360" w:lineRule="auto"/>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2822575" cy="2128520"/>
            <wp:effectExtent l="0" t="0" r="15875" b="5080"/>
            <wp:docPr id="22" name="图片 22" descr="356d27789946a0c2406ddfd75b14e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356d27789946a0c2406ddfd75b14e94"/>
                    <pic:cNvPicPr>
                      <a:picLocks noChangeAspect="1"/>
                    </pic:cNvPicPr>
                  </pic:nvPicPr>
                  <pic:blipFill>
                    <a:blip r:embed="rId16"/>
                    <a:stretch>
                      <a:fillRect/>
                    </a:stretch>
                  </pic:blipFill>
                  <pic:spPr>
                    <a:xfrm>
                      <a:off x="0" y="0"/>
                      <a:ext cx="2844973" cy="2145560"/>
                    </a:xfrm>
                    <a:prstGeom prst="rect">
                      <a:avLst/>
                    </a:prstGeom>
                  </pic:spPr>
                </pic:pic>
              </a:graphicData>
            </a:graphic>
          </wp:inline>
        </w:drawing>
      </w:r>
    </w:p>
    <w:p w14:paraId="43146F1B">
      <w:pPr>
        <w:spacing w:line="360" w:lineRule="auto"/>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图8</w:t>
      </w:r>
    </w:p>
    <w:p w14:paraId="3D74CBCD">
      <w:pPr>
        <w:pStyle w:val="4"/>
        <w:adjustRightInd w:val="0"/>
        <w:snapToGrid w:val="0"/>
        <w:spacing w:after="0" w:line="300" w:lineRule="auto"/>
        <w:ind w:right="2" w:firstLine="64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之间有道路隔离情形的：</w:t>
      </w:r>
    </w:p>
    <w:p w14:paraId="3E20C3C2">
      <w:pPr>
        <w:pStyle w:val="4"/>
        <w:adjustRightInd w:val="0"/>
        <w:snapToGrid w:val="0"/>
        <w:spacing w:after="0" w:line="300"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ascii="仿宋_GB2312" w:hAnsi="仿宋_GB2312" w:eastAsia="仿宋_GB2312" w:cs="仿宋_GB2312"/>
          <w:color w:val="000000" w:themeColor="text1"/>
          <w:spacing w:val="10"/>
          <w:sz w:val="32"/>
          <w:szCs w:val="32"/>
          <w14:textFill>
            <w14:solidFill>
              <w14:schemeClr w14:val="tx1"/>
            </w14:solidFill>
          </w14:textFill>
        </w:rPr>
        <w:t>1.</w:t>
      </w:r>
      <w:r>
        <w:rPr>
          <w:rFonts w:hint="eastAsia" w:ascii="仿宋_GB2312" w:hAnsi="仿宋_GB2312" w:eastAsia="仿宋_GB2312" w:cs="仿宋_GB2312"/>
          <w:color w:val="000000" w:themeColor="text1"/>
          <w:spacing w:val="10"/>
          <w:sz w:val="32"/>
          <w:szCs w:val="32"/>
          <w14:textFill>
            <w14:solidFill>
              <w14:schemeClr w14:val="tx1"/>
            </w14:solidFill>
          </w14:textFill>
        </w:rPr>
        <w:t>主干道上有禁止行人行走隔离带的（包括禁止通行的双实线、单实线等交通标志），测量从隔离带最近开口处过斑马线、天桥等行人可安全步行通道，以直线距离为测量标准，申请点与参照零售点间距=a+b+c。（如图9.1）</w:t>
      </w:r>
    </w:p>
    <w:p w14:paraId="13E9C234">
      <w:pPr>
        <w:pStyle w:val="4"/>
        <w:spacing w:after="0" w:line="360" w:lineRule="auto"/>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4127500" cy="2635885"/>
            <wp:effectExtent l="0" t="0" r="0" b="0"/>
            <wp:docPr id="26" name="图片 26" descr="8ba54ecd243e5522fac748aa3cc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8ba54ecd243e5522fac748aa3cc0758"/>
                    <pic:cNvPicPr>
                      <a:picLocks noChangeAspect="1"/>
                    </pic:cNvPicPr>
                  </pic:nvPicPr>
                  <pic:blipFill>
                    <a:blip r:embed="rId17">
                      <a:clrChange>
                        <a:clrFrom>
                          <a:srgbClr val="FBFCF7">
                            <a:alpha val="100000"/>
                          </a:srgbClr>
                        </a:clrFrom>
                        <a:clrTo>
                          <a:srgbClr val="FBFCF7">
                            <a:alpha val="100000"/>
                            <a:alpha val="0"/>
                          </a:srgbClr>
                        </a:clrTo>
                      </a:clrChange>
                    </a:blip>
                    <a:stretch>
                      <a:fillRect/>
                    </a:stretch>
                  </pic:blipFill>
                  <pic:spPr>
                    <a:xfrm>
                      <a:off x="0" y="0"/>
                      <a:ext cx="4138627" cy="2643022"/>
                    </a:xfrm>
                    <a:prstGeom prst="rect">
                      <a:avLst/>
                    </a:prstGeom>
                  </pic:spPr>
                </pic:pic>
              </a:graphicData>
            </a:graphic>
          </wp:inline>
        </w:drawing>
      </w:r>
    </w:p>
    <w:p w14:paraId="485B6049">
      <w:pPr>
        <w:spacing w:line="360" w:lineRule="auto"/>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图9.1</w:t>
      </w:r>
    </w:p>
    <w:p w14:paraId="5A636565">
      <w:pPr>
        <w:pStyle w:val="4"/>
        <w:adjustRightInd w:val="0"/>
        <w:snapToGrid w:val="0"/>
        <w:spacing w:after="0" w:line="300"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ascii="仿宋_GB2312" w:hAnsi="仿宋_GB2312" w:eastAsia="仿宋_GB2312" w:cs="仿宋_GB2312"/>
          <w:color w:val="000000" w:themeColor="text1"/>
          <w:spacing w:val="10"/>
          <w:sz w:val="32"/>
          <w:szCs w:val="32"/>
          <w14:textFill>
            <w14:solidFill>
              <w14:schemeClr w14:val="tx1"/>
            </w14:solidFill>
          </w14:textFill>
        </w:rPr>
        <w:t>2.</w:t>
      </w:r>
      <w:r>
        <w:rPr>
          <w:rFonts w:hint="eastAsia" w:ascii="仿宋_GB2312" w:hAnsi="仿宋_GB2312" w:eastAsia="仿宋_GB2312" w:cs="仿宋_GB2312"/>
          <w:color w:val="000000" w:themeColor="text1"/>
          <w:spacing w:val="10"/>
          <w:sz w:val="32"/>
          <w:szCs w:val="32"/>
          <w14:textFill>
            <w14:solidFill>
              <w14:schemeClr w14:val="tx1"/>
            </w14:solidFill>
          </w14:textFill>
        </w:rPr>
        <w:t>无隔离带（包括无任何禁止通行交通标志的路段或有可通行的单虚线），但两个零售点之间有斑马线的，按照“边对边”过斑马线垂直距离为测量标准。</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间距=a+b+c。（如图9.2）</w:t>
      </w:r>
    </w:p>
    <w:p w14:paraId="0EC4AEA3">
      <w:pPr>
        <w:pStyle w:val="4"/>
        <w:spacing w:after="0" w:line="360" w:lineRule="auto"/>
        <w:ind w:firstLine="68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3261995" cy="1890395"/>
            <wp:effectExtent l="0" t="0" r="14605" b="14605"/>
            <wp:docPr id="34" name="图片 34" descr="c278b0802036915e85f53d70bcbf8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278b0802036915e85f53d70bcbf8a1"/>
                    <pic:cNvPicPr>
                      <a:picLocks noChangeAspect="1"/>
                    </pic:cNvPicPr>
                  </pic:nvPicPr>
                  <pic:blipFill>
                    <a:blip r:embed="rId18"/>
                    <a:srcRect t="11409"/>
                    <a:stretch>
                      <a:fillRect/>
                    </a:stretch>
                  </pic:blipFill>
                  <pic:spPr>
                    <a:xfrm>
                      <a:off x="0" y="0"/>
                      <a:ext cx="3316677" cy="1922333"/>
                    </a:xfrm>
                    <a:prstGeom prst="rect">
                      <a:avLst/>
                    </a:prstGeom>
                  </pic:spPr>
                </pic:pic>
              </a:graphicData>
            </a:graphic>
          </wp:inline>
        </w:drawing>
      </w:r>
      <w:bookmarkStart w:id="0" w:name="attache_title"/>
      <w:bookmarkEnd w:id="0"/>
      <w:bookmarkStart w:id="1" w:name="Fuzhu"/>
      <w:bookmarkEnd w:id="1"/>
    </w:p>
    <w:p w14:paraId="2101CC59">
      <w:pPr>
        <w:spacing w:line="360" w:lineRule="auto"/>
        <w:ind w:right="-512" w:rightChars="-244"/>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图9.2</w:t>
      </w:r>
    </w:p>
    <w:p w14:paraId="10FEC1E3">
      <w:pPr>
        <w:pStyle w:val="4"/>
        <w:spacing w:after="0" w:line="360" w:lineRule="auto"/>
        <w:ind w:right="2" w:firstLine="68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（十）各类综合性商品批发市场、专业市场、集贸市场内部距离测量示意图，</w:t>
      </w:r>
      <w:r>
        <w:rPr>
          <w:rFonts w:hint="eastAsia" w:ascii="仿宋_GB2312" w:hAnsi="仿宋_GB2312" w:eastAsia="仿宋_GB2312" w:cs="仿宋_GB2312"/>
          <w:color w:val="000000" w:themeColor="text1"/>
          <w:sz w:val="32"/>
          <w:szCs w:val="32"/>
          <w14:textFill>
            <w14:solidFill>
              <w14:schemeClr w14:val="tx1"/>
            </w14:solidFill>
          </w14:textFill>
        </w:rPr>
        <w:t>申请点与参照零售点间距</w:t>
      </w:r>
      <w:r>
        <w:rPr>
          <w:rFonts w:hint="eastAsia" w:ascii="仿宋_GB2312" w:hAnsi="仿宋_GB2312" w:eastAsia="仿宋_GB2312" w:cs="仿宋_GB2312"/>
          <w:color w:val="000000" w:themeColor="text1"/>
          <w:spacing w:val="10"/>
          <w:sz w:val="32"/>
          <w:szCs w:val="32"/>
          <w14:textFill>
            <w14:solidFill>
              <w14:schemeClr w14:val="tx1"/>
            </w14:solidFill>
          </w14:textFill>
        </w:rPr>
        <w:t>=a+b+c。（如图10）</w:t>
      </w:r>
    </w:p>
    <w:p w14:paraId="5CCE156E">
      <w:pPr>
        <w:spacing w:line="360" w:lineRule="auto"/>
        <w:jc w:val="center"/>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drawing>
          <wp:inline distT="0" distB="0" distL="114300" distR="114300">
            <wp:extent cx="3851275" cy="2245360"/>
            <wp:effectExtent l="0" t="0" r="15875" b="2540"/>
            <wp:docPr id="36" name="图片 36" descr="2f67498772cdcce961f622af2fa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2f67498772cdcce961f622af2fa8684"/>
                    <pic:cNvPicPr>
                      <a:picLocks noChangeAspect="1"/>
                    </pic:cNvPicPr>
                  </pic:nvPicPr>
                  <pic:blipFill>
                    <a:blip r:embed="rId19"/>
                    <a:stretch>
                      <a:fillRect/>
                    </a:stretch>
                  </pic:blipFill>
                  <pic:spPr>
                    <a:xfrm>
                      <a:off x="0" y="0"/>
                      <a:ext cx="3851275" cy="2245360"/>
                    </a:xfrm>
                    <a:prstGeom prst="rect">
                      <a:avLst/>
                    </a:prstGeom>
                  </pic:spPr>
                </pic:pic>
              </a:graphicData>
            </a:graphic>
          </wp:inline>
        </w:drawing>
      </w:r>
    </w:p>
    <w:p w14:paraId="2000E6AC">
      <w:pPr>
        <w:spacing w:line="360" w:lineRule="auto"/>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图10</w:t>
      </w:r>
    </w:p>
    <w:p w14:paraId="44A060B4">
      <w:pPr>
        <w:pStyle w:val="4"/>
        <w:spacing w:after="0" w:line="360" w:lineRule="auto"/>
        <w:ind w:right="2" w:firstLine="640" w:firstLineChars="20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（十一）申请点与参照零售点</w:t>
      </w:r>
      <w:r>
        <w:rPr>
          <w:rFonts w:hint="eastAsia" w:ascii="仿宋_GB2312" w:hAnsi="仿宋_GB2312" w:eastAsia="仿宋_GB2312" w:cs="仿宋_GB2312"/>
          <w:color w:val="000000" w:themeColor="text1"/>
          <w:spacing w:val="10"/>
          <w:sz w:val="32"/>
          <w:szCs w:val="32"/>
          <w14:textFill>
            <w14:solidFill>
              <w14:schemeClr w14:val="tx1"/>
            </w14:solidFill>
          </w14:textFill>
        </w:rPr>
        <w:t>的经营场所之间有台阶、楼梯的，以其平面坡长进行测量；有电梯的，以层高进行测量；楼梯与电梯并存的，以最短距离的为准。（如图11）</w:t>
      </w:r>
    </w:p>
    <w:p w14:paraId="57EB4DFC">
      <w:pPr>
        <w:spacing w:line="360" w:lineRule="auto"/>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5163185" cy="2213610"/>
            <wp:effectExtent l="0" t="0" r="18415" b="15240"/>
            <wp:docPr id="37" name="图片 37" descr="b08fff5a5926b05bdda889babaaeb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b08fff5a5926b05bdda889babaaeb28"/>
                    <pic:cNvPicPr>
                      <a:picLocks noChangeAspect="1"/>
                    </pic:cNvPicPr>
                  </pic:nvPicPr>
                  <pic:blipFill>
                    <a:blip r:embed="rId20"/>
                    <a:stretch>
                      <a:fillRect/>
                    </a:stretch>
                  </pic:blipFill>
                  <pic:spPr>
                    <a:xfrm>
                      <a:off x="0" y="0"/>
                      <a:ext cx="5163185" cy="2213610"/>
                    </a:xfrm>
                    <a:prstGeom prst="rect">
                      <a:avLst/>
                    </a:prstGeom>
                  </pic:spPr>
                </pic:pic>
              </a:graphicData>
            </a:graphic>
          </wp:inline>
        </w:drawing>
      </w:r>
    </w:p>
    <w:p w14:paraId="0A9AA1B7">
      <w:pPr>
        <w:tabs>
          <w:tab w:val="left" w:pos="1331"/>
        </w:tabs>
        <w:spacing w:line="360" w:lineRule="auto"/>
        <w:ind w:firstLine="68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图11</w:t>
      </w:r>
    </w:p>
    <w:p w14:paraId="6CCAB7E9">
      <w:pPr>
        <w:pStyle w:val="4"/>
        <w:spacing w:after="0" w:line="360"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（十二）申请点或零售点多门情况</w:t>
      </w:r>
    </w:p>
    <w:p w14:paraId="0EE3D598">
      <w:pPr>
        <w:pStyle w:val="4"/>
        <w:spacing w:after="0" w:line="360" w:lineRule="auto"/>
        <w:ind w:right="2"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申请人经营场所门面多面（多间）贯通且多面经营的，测量起始点的选取规则是：申请人与参照零售点之间距离最近的门面为起始点测量。</w:t>
      </w:r>
    </w:p>
    <w:p w14:paraId="2DE6A15C">
      <w:pPr>
        <w:spacing w:line="360"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道路同侧情况</w:t>
      </w:r>
    </w:p>
    <w:p w14:paraId="08F1307C">
      <w:pPr>
        <w:spacing w:line="360"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申请点出入口较多，取与最近零售点经营场所最短的出入口进行测量。（如图12.1）</w:t>
      </w:r>
    </w:p>
    <w:p w14:paraId="0D9A9A38">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4333875" cy="2213610"/>
            <wp:effectExtent l="0" t="0" r="9525" b="15240"/>
            <wp:docPr id="38" name="图片 38" descr="b861e0d0513f560d18e101d62e6c6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b861e0d0513f560d18e101d62e6c6ff"/>
                    <pic:cNvPicPr>
                      <a:picLocks noChangeAspect="1"/>
                    </pic:cNvPicPr>
                  </pic:nvPicPr>
                  <pic:blipFill>
                    <a:blip r:embed="rId21"/>
                    <a:stretch>
                      <a:fillRect/>
                    </a:stretch>
                  </pic:blipFill>
                  <pic:spPr>
                    <a:xfrm rot="10800000" flipH="1" flipV="1">
                      <a:off x="0" y="0"/>
                      <a:ext cx="4333875" cy="2213610"/>
                    </a:xfrm>
                    <a:prstGeom prst="rect">
                      <a:avLst/>
                    </a:prstGeom>
                  </pic:spPr>
                </pic:pic>
              </a:graphicData>
            </a:graphic>
          </wp:inline>
        </w:drawing>
      </w:r>
    </w:p>
    <w:p w14:paraId="1C72860D">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图12.1</w:t>
      </w:r>
    </w:p>
    <w:p w14:paraId="157C1D95">
      <w:p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十字路口情况</w:t>
      </w:r>
    </w:p>
    <w:p w14:paraId="72ABB12F">
      <w:p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（1）申请点与参照零售点在十字路口中轴线同一半侧的道路对侧的，取申请点至零售点最近一侧的门边，测量</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可安全步行的最短距离</w:t>
      </w:r>
      <w:r>
        <w:rPr>
          <w:rFonts w:hint="eastAsia" w:ascii="仿宋_GB2312" w:hAnsi="仿宋_GB2312" w:eastAsia="仿宋_GB2312" w:cs="仿宋_GB2312"/>
          <w:color w:val="000000" w:themeColor="text1"/>
          <w:sz w:val="32"/>
          <w:szCs w:val="32"/>
          <w14:textFill>
            <w14:solidFill>
              <w14:schemeClr w14:val="tx1"/>
            </w14:solidFill>
          </w14:textFill>
        </w:rPr>
        <w:t>。具体测量办法视有无交通信号灯、人行横道或过街设施的路段以及障碍物情况而定。（如图12.2）</w:t>
      </w:r>
    </w:p>
    <w:p w14:paraId="7B81A555">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ascii="仿宋_GB2312" w:hAnsi="仿宋_GB2312" w:eastAsia="仿宋_GB2312" w:cs="仿宋_GB2312"/>
          <w:color w:val="000000" w:themeColor="text1"/>
          <w:sz w:val="32"/>
          <w:szCs w:val="32"/>
          <w14:textFill>
            <w14:solidFill>
              <w14:schemeClr w14:val="tx1"/>
            </w14:solidFill>
          </w14:textFill>
        </w:rPr>
        <w:drawing>
          <wp:inline distT="0" distB="0" distL="0" distR="0">
            <wp:extent cx="2393315" cy="2198370"/>
            <wp:effectExtent l="0" t="0" r="6985" b="11430"/>
            <wp:docPr id="2866446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644646" name="图片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433119" cy="2235388"/>
                    </a:xfrm>
                    <a:prstGeom prst="rect">
                      <a:avLst/>
                    </a:prstGeom>
                    <a:noFill/>
                    <a:ln>
                      <a:noFill/>
                    </a:ln>
                  </pic:spPr>
                </pic:pic>
              </a:graphicData>
            </a:graphic>
          </wp:inline>
        </w:drawing>
      </w:r>
      <w:bookmarkStart w:id="2" w:name="_GoBack"/>
      <w:bookmarkEnd w:id="2"/>
    </w:p>
    <w:p w14:paraId="06E0EA3B">
      <w:pPr>
        <w:adjustRightInd w:val="0"/>
        <w:snapToGrid w:val="0"/>
        <w:spacing w:line="336"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图12.2</w:t>
      </w:r>
    </w:p>
    <w:p w14:paraId="01018820">
      <w:p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（2）申请点与参照零售点位于十字路口对角位置的，且路口中间设有交通信号灯、人行横道或过街设施的，应按照交通规则，通过人行横道或过街设施，按申请点最近一侧门边至零售点最近一侧门边</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w:t>
      </w:r>
      <w:r>
        <w:rPr>
          <w:rFonts w:hint="eastAsia" w:ascii="仿宋_GB2312" w:hAnsi="仿宋_GB2312" w:eastAsia="仿宋_GB2312" w:cs="仿宋_GB2312"/>
          <w:color w:val="000000" w:themeColor="text1"/>
          <w:sz w:val="32"/>
          <w:szCs w:val="32"/>
          <w14:textFill>
            <w14:solidFill>
              <w14:schemeClr w14:val="tx1"/>
            </w14:solidFill>
          </w14:textFill>
        </w:rPr>
        <w:t>。（如图12.3存在多条线路取其中</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可安全步行最短距离线路测量</w:t>
      </w:r>
      <w:r>
        <w:rPr>
          <w:rFonts w:hint="eastAsia" w:ascii="仿宋_GB2312" w:hAnsi="仿宋_GB2312" w:eastAsia="仿宋_GB2312" w:cs="仿宋_GB2312"/>
          <w:color w:val="000000" w:themeColor="text1"/>
          <w:sz w:val="32"/>
          <w:szCs w:val="32"/>
          <w14:textFill>
            <w14:solidFill>
              <w14:schemeClr w14:val="tx1"/>
            </w14:solidFill>
          </w14:textFill>
        </w:rPr>
        <w:t>）</w:t>
      </w:r>
    </w:p>
    <w:p w14:paraId="3A3D3733">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3131185" cy="2522855"/>
            <wp:effectExtent l="0" t="0" r="12065" b="10795"/>
            <wp:docPr id="43" name="图片 43" descr="991a379882017bdd4fda0c6acf0b3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991a379882017bdd4fda0c6acf0b3cf"/>
                    <pic:cNvPicPr>
                      <a:picLocks noChangeAspect="1"/>
                    </pic:cNvPicPr>
                  </pic:nvPicPr>
                  <pic:blipFill>
                    <a:blip r:embed="rId23"/>
                    <a:stretch>
                      <a:fillRect/>
                    </a:stretch>
                  </pic:blipFill>
                  <pic:spPr>
                    <a:xfrm>
                      <a:off x="0" y="0"/>
                      <a:ext cx="3131185" cy="2522855"/>
                    </a:xfrm>
                    <a:prstGeom prst="rect">
                      <a:avLst/>
                    </a:prstGeom>
                  </pic:spPr>
                </pic:pic>
              </a:graphicData>
            </a:graphic>
          </wp:inline>
        </w:drawing>
      </w:r>
    </w:p>
    <w:p w14:paraId="26E55E04">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图12.3</w:t>
      </w:r>
    </w:p>
    <w:p w14:paraId="77B9AE17">
      <w:p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（3）申请点与参照零售点位于十字路口对角位置，且路口中间未设有交通信号灯、人行横道或过街设施的，按申请点至零售点最近一侧的门边，测量</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w:t>
      </w:r>
      <w:r>
        <w:rPr>
          <w:rFonts w:hint="eastAsia" w:ascii="仿宋_GB2312" w:hAnsi="仿宋_GB2312" w:eastAsia="仿宋_GB2312" w:cs="仿宋_GB2312"/>
          <w:color w:val="000000" w:themeColor="text1"/>
          <w:sz w:val="32"/>
          <w:szCs w:val="32"/>
          <w14:textFill>
            <w14:solidFill>
              <w14:schemeClr w14:val="tx1"/>
            </w14:solidFill>
          </w14:textFill>
        </w:rPr>
        <w:t>。（如图12.4存在多条线路，取其中一条</w:t>
      </w:r>
      <w:r>
        <w:rPr>
          <w:rFonts w:hint="eastAsia" w:ascii="仿宋_GB2312" w:hAnsi="仿宋_GB2312" w:eastAsia="仿宋_GB2312" w:cs="仿宋_GB2312"/>
          <w:color w:val="000000" w:themeColor="text1"/>
          <w:spacing w:val="10"/>
          <w:sz w:val="32"/>
          <w:szCs w:val="32"/>
          <w14:textFill>
            <w14:solidFill>
              <w14:schemeClr w14:val="tx1"/>
            </w14:solidFill>
          </w14:textFill>
        </w:rPr>
        <w:t>可安全步行最短距离线路测量</w:t>
      </w:r>
      <w:r>
        <w:rPr>
          <w:rFonts w:hint="eastAsia" w:ascii="仿宋_GB2312" w:hAnsi="仿宋_GB2312" w:eastAsia="仿宋_GB2312" w:cs="仿宋_GB2312"/>
          <w:color w:val="000000" w:themeColor="text1"/>
          <w:sz w:val="32"/>
          <w:szCs w:val="32"/>
          <w14:textFill>
            <w14:solidFill>
              <w14:schemeClr w14:val="tx1"/>
            </w14:solidFill>
          </w14:textFill>
        </w:rPr>
        <w:t>）</w:t>
      </w:r>
    </w:p>
    <w:p w14:paraId="1EF5463E">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inline distT="0" distB="0" distL="114300" distR="114300">
            <wp:extent cx="3330575" cy="2741930"/>
            <wp:effectExtent l="0" t="0" r="3175" b="1270"/>
            <wp:docPr id="46" name="图片 46" descr="9255d481f7a56990fb4032b60a1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9255d481f7a56990fb4032b60a15101"/>
                    <pic:cNvPicPr>
                      <a:picLocks noChangeAspect="1"/>
                    </pic:cNvPicPr>
                  </pic:nvPicPr>
                  <pic:blipFill>
                    <a:blip r:embed="rId24"/>
                    <a:stretch>
                      <a:fillRect/>
                    </a:stretch>
                  </pic:blipFill>
                  <pic:spPr>
                    <a:xfrm>
                      <a:off x="0" y="0"/>
                      <a:ext cx="3330575" cy="2741930"/>
                    </a:xfrm>
                    <a:prstGeom prst="rect">
                      <a:avLst/>
                    </a:prstGeom>
                  </pic:spPr>
                </pic:pic>
              </a:graphicData>
            </a:graphic>
          </wp:inline>
        </w:drawing>
      </w:r>
    </w:p>
    <w:p w14:paraId="4F02F148">
      <w:pPr>
        <w:spacing w:line="360" w:lineRule="auto"/>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图12.4</w:t>
      </w:r>
    </w:p>
    <w:p w14:paraId="092A0158">
      <w:pPr>
        <w:pStyle w:val="4"/>
        <w:adjustRightInd w:val="0"/>
        <w:snapToGrid w:val="0"/>
        <w:spacing w:after="0" w:line="336" w:lineRule="auto"/>
        <w:ind w:firstLine="680" w:firstLineChars="200"/>
        <w:jc w:val="left"/>
        <w:rPr>
          <w:rFonts w:ascii="仿宋_GB2312" w:hAnsi="仿宋_GB2312" w:eastAsia="仿宋_GB2312" w:cs="仿宋_GB2312"/>
          <w:color w:val="000000" w:themeColor="text1"/>
          <w:spacing w:val="10"/>
          <w:sz w:val="32"/>
          <w:szCs w:val="32"/>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（十三）封闭式小区内部、广场等区域零售点的间距测量方法均以原设计道路、人行通道正常安全步行的最短距离进行测量。</w:t>
      </w:r>
    </w:p>
    <w:p w14:paraId="3F116E41">
      <w:pPr>
        <w:pStyle w:val="4"/>
        <w:adjustRightInd w:val="0"/>
        <w:snapToGrid w:val="0"/>
        <w:spacing w:after="0" w:line="336" w:lineRule="auto"/>
        <w:ind w:firstLine="680" w:firstLineChars="200"/>
        <w:jc w:val="left"/>
        <w:rPr>
          <w:rFonts w:ascii="仿宋_GB2312" w:hAnsi="黑体" w:eastAsia="仿宋_GB2312" w:cs="宋体"/>
          <w:color w:val="000000" w:themeColor="text1"/>
          <w:sz w:val="32"/>
          <w:szCs w:val="32"/>
          <w:lang w:bidi="ug-CN"/>
          <w14:textFill>
            <w14:solidFill>
              <w14:schemeClr w14:val="tx1"/>
            </w14:solidFill>
          </w14:textFill>
        </w:rPr>
      </w:pPr>
      <w:r>
        <w:rPr>
          <w:rFonts w:hint="eastAsia" w:ascii="仿宋_GB2312" w:hAnsi="仿宋_GB2312" w:eastAsia="仿宋_GB2312" w:cs="仿宋_GB2312"/>
          <w:color w:val="000000" w:themeColor="text1"/>
          <w:spacing w:val="10"/>
          <w:sz w:val="32"/>
          <w:szCs w:val="32"/>
          <w14:textFill>
            <w14:solidFill>
              <w14:schemeClr w14:val="tx1"/>
            </w14:solidFill>
          </w14:textFill>
        </w:rPr>
        <w:t>（十四）特殊地形测量：因地形、地貌或设计等原因导致道路、通道成不规则形态，通过前述方法无法测量的，以可安全步行最短距离进行测量。</w:t>
      </w:r>
    </w:p>
    <w:p w14:paraId="34FAE802">
      <w:pPr>
        <w:spacing w:before="104" w:line="224" w:lineRule="auto"/>
        <w:ind w:left="619"/>
        <w:rPr>
          <w:rFonts w:hint="eastAsia" w:ascii="黑体" w:hAnsi="黑体" w:eastAsia="黑体" w:cs="黑体"/>
          <w:color w:val="000000" w:themeColor="text1"/>
          <w:spacing w:val="8"/>
          <w:sz w:val="32"/>
          <w:szCs w:val="32"/>
          <w14:textFill>
            <w14:solidFill>
              <w14:schemeClr w14:val="tx1"/>
            </w14:solidFill>
          </w14:textFill>
        </w:rPr>
        <w:sectPr>
          <w:pgSz w:w="11906" w:h="16838"/>
          <w:pgMar w:top="1440" w:right="1531" w:bottom="1440" w:left="1531" w:header="851" w:footer="992" w:gutter="0"/>
          <w:pgNumType w:fmt="numberInDash"/>
          <w:cols w:space="425" w:num="1"/>
          <w:docGrid w:type="lines" w:linePitch="312" w:charSpace="0"/>
        </w:sectPr>
      </w:pPr>
    </w:p>
    <w:p w14:paraId="661962EC">
      <w:pPr>
        <w:spacing w:before="98" w:line="231" w:lineRule="auto"/>
        <w:ind w:left="352"/>
        <w:rPr>
          <w:rFonts w:ascii="黑体" w:hAnsi="黑体" w:eastAsia="黑体" w:cs="黑体"/>
          <w:color w:val="000000" w:themeColor="text1"/>
          <w:sz w:val="30"/>
          <w:szCs w:val="30"/>
          <w14:textFill>
            <w14:solidFill>
              <w14:schemeClr w14:val="tx1"/>
            </w14:solidFill>
          </w14:textFill>
        </w:rPr>
      </w:pPr>
      <w:r>
        <w:rPr>
          <w:rFonts w:ascii="黑体" w:hAnsi="黑体" w:eastAsia="黑体" w:cs="黑体"/>
          <w:color w:val="000000" w:themeColor="text1"/>
          <w:spacing w:val="3"/>
          <w:sz w:val="30"/>
          <w:szCs w:val="30"/>
          <w14:textFill>
            <w14:solidFill>
              <w14:schemeClr w14:val="tx1"/>
            </w14:solidFill>
          </w14:textFill>
        </w:rPr>
        <w:t>附件2</w:t>
      </w:r>
    </w:p>
    <w:p w14:paraId="186AE721">
      <w:pPr>
        <w:keepNext w:val="0"/>
        <w:keepLines w:val="0"/>
        <w:pageBreakBefore w:val="0"/>
        <w:widowControl w:val="0"/>
        <w:kinsoku/>
        <w:wordWrap/>
        <w:overflowPunct/>
        <w:topLinePunct w:val="0"/>
        <w:autoSpaceDE/>
        <w:autoSpaceDN/>
        <w:bidi w:val="0"/>
        <w:adjustRightInd/>
        <w:snapToGrid/>
        <w:spacing w:before="42" w:line="360" w:lineRule="auto"/>
        <w:jc w:val="center"/>
        <w:textAlignment w:val="auto"/>
        <w:rPr>
          <w:rFonts w:hint="eastAsia" w:ascii="方正小标宋简体" w:hAnsi="方正小标宋简体" w:eastAsia="方正小标宋简体" w:cs="方正小标宋简体"/>
          <w:snapToGrid/>
          <w:color w:val="000000" w:themeColor="text1"/>
          <w:kern w:val="2"/>
          <w:sz w:val="50"/>
          <w:szCs w:val="50"/>
          <w:lang w:eastAsia="zh-CN"/>
          <w14:textFill>
            <w14:solidFill>
              <w14:schemeClr w14:val="tx1"/>
            </w14:solidFill>
          </w14:textFill>
        </w:rPr>
      </w:pPr>
      <w:r>
        <w:rPr>
          <w:rFonts w:hint="eastAsia" w:ascii="方正小标宋简体" w:hAnsi="方正小标宋简体" w:eastAsia="方正小标宋简体" w:cs="方正小标宋简体"/>
          <w:snapToGrid/>
          <w:color w:val="000000" w:themeColor="text1"/>
          <w:kern w:val="2"/>
          <w:sz w:val="50"/>
          <w:szCs w:val="50"/>
          <w:lang w:eastAsia="zh-CN"/>
          <w14:textFill>
            <w14:solidFill>
              <w14:schemeClr w14:val="tx1"/>
            </w14:solidFill>
          </w14:textFill>
        </w:rPr>
        <w:t>云南省元江哈尼族彝族傣族自治县烟草制品零售点合理布局公示表</w:t>
      </w:r>
    </w:p>
    <w:p w14:paraId="713FFC85">
      <w:pPr>
        <w:spacing w:before="180" w:line="272" w:lineRule="exact"/>
        <w:ind w:left="313"/>
        <w:rPr>
          <w:rFonts w:ascii="宋体" w:hAnsi="宋体" w:eastAsia="宋体" w:cs="宋体"/>
          <w:color w:val="000000" w:themeColor="text1"/>
          <w:sz w:val="19"/>
          <w:szCs w:val="19"/>
          <w14:textFill>
            <w14:solidFill>
              <w14:schemeClr w14:val="tx1"/>
            </w14:solidFill>
          </w14:textFill>
        </w:rPr>
      </w:pPr>
      <w:r>
        <w:rPr>
          <w:rFonts w:ascii="宋体" w:hAnsi="宋体" w:eastAsia="宋体" w:cs="宋体"/>
          <w:color w:val="000000" w:themeColor="text1"/>
          <w:spacing w:val="8"/>
          <w:position w:val="1"/>
          <w:sz w:val="19"/>
          <w:szCs w:val="19"/>
          <w14:textFill>
            <w14:solidFill>
              <w14:schemeClr w14:val="tx1"/>
            </w14:solidFill>
          </w14:textFill>
        </w:rPr>
        <w:t xml:space="preserve">单位：云南省元江哈尼族彝族傣族自治县烟草专卖局                                     </w:t>
      </w:r>
      <w:r>
        <w:rPr>
          <w:rFonts w:ascii="宋体" w:hAnsi="宋体" w:eastAsia="宋体" w:cs="宋体"/>
          <w:color w:val="000000" w:themeColor="text1"/>
          <w:spacing w:val="7"/>
          <w:position w:val="1"/>
          <w:sz w:val="19"/>
          <w:szCs w:val="19"/>
          <w14:textFill>
            <w14:solidFill>
              <w14:schemeClr w14:val="tx1"/>
            </w14:solidFill>
          </w14:textFill>
        </w:rPr>
        <w:t xml:space="preserve"> 公示时间：</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18"/>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年</w:t>
      </w:r>
      <w:r>
        <w:rPr>
          <w:rFonts w:hint="eastAsia" w:ascii="宋体" w:hAnsi="宋体" w:cs="宋体"/>
          <w:color w:val="000000" w:themeColor="text1"/>
          <w:spacing w:val="-24"/>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26"/>
          <w:w w:val="101"/>
          <w:position w:val="1"/>
          <w:sz w:val="19"/>
          <w:szCs w:val="19"/>
          <w14:textFill>
            <w14:solidFill>
              <w14:schemeClr w14:val="tx1"/>
            </w14:solidFill>
          </w14:textFill>
        </w:rPr>
        <w:t xml:space="preserve"> </w:t>
      </w:r>
      <w:r>
        <w:rPr>
          <w:rFonts w:hint="eastAsia" w:ascii="Arial" w:hAnsi="Arial" w:eastAsia="宋体" w:cs="Arial"/>
          <w:color w:val="000000" w:themeColor="text1"/>
          <w:spacing w:val="26"/>
          <w:w w:val="101"/>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月</w:t>
      </w:r>
      <w:r>
        <w:rPr>
          <w:rFonts w:ascii="宋体" w:hAnsi="宋体" w:eastAsia="宋体" w:cs="宋体"/>
          <w:color w:val="000000" w:themeColor="text1"/>
          <w:spacing w:val="-22"/>
          <w:position w:val="1"/>
          <w:sz w:val="19"/>
          <w:szCs w:val="19"/>
          <w14:textFill>
            <w14:solidFill>
              <w14:schemeClr w14:val="tx1"/>
            </w14:solidFill>
          </w14:textFill>
        </w:rPr>
        <w:t xml:space="preserve"> </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7"/>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日</w:t>
      </w:r>
      <w:r>
        <w:rPr>
          <w:rFonts w:hint="eastAsia" w:ascii="宋体" w:hAnsi="宋体" w:eastAsia="宋体" w:cs="宋体"/>
          <w:color w:val="000000" w:themeColor="text1"/>
          <w:spacing w:val="7"/>
          <w:position w:val="1"/>
          <w:sz w:val="19"/>
          <w:szCs w:val="19"/>
          <w:lang w:val="en-US" w:eastAsia="zh-CN"/>
          <w14:textFill>
            <w14:solidFill>
              <w14:schemeClr w14:val="tx1"/>
            </w14:solidFill>
          </w14:textFill>
        </w:rPr>
        <w:t xml:space="preserve"> </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年</w:t>
      </w:r>
      <w:r>
        <w:rPr>
          <w:rFonts w:hint="eastAsia" w:ascii="宋体" w:hAnsi="宋体" w:cs="宋体"/>
          <w:color w:val="000000" w:themeColor="text1"/>
          <w:spacing w:val="-27"/>
          <w:position w:val="1"/>
          <w:sz w:val="19"/>
          <w:szCs w:val="19"/>
          <w:lang w:val="en-US" w:eastAsia="zh-CN"/>
          <w14:textFill>
            <w14:solidFill>
              <w14:schemeClr w14:val="tx1"/>
            </w14:solidFill>
          </w14:textFill>
        </w:rPr>
        <w:t xml:space="preserve">       </w:t>
      </w:r>
      <w:r>
        <w:rPr>
          <w:rFonts w:hint="eastAsia" w:eastAsia="宋体" w:cs="Arial"/>
          <w:color w:val="000000" w:themeColor="text1"/>
          <w:spacing w:val="7"/>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月</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24"/>
          <w:w w:val="101"/>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日</w:t>
      </w:r>
    </w:p>
    <w:p w14:paraId="0EFFA826">
      <w:pPr>
        <w:spacing w:line="80" w:lineRule="auto"/>
        <w:rPr>
          <w:rFonts w:ascii="Arial"/>
          <w:color w:val="000000" w:themeColor="text1"/>
          <w:sz w:val="2"/>
          <w14:textFill>
            <w14:solidFill>
              <w14:schemeClr w14:val="tx1"/>
            </w14:solidFill>
          </w14:textFill>
        </w:rPr>
      </w:pPr>
    </w:p>
    <w:tbl>
      <w:tblPr>
        <w:tblStyle w:val="24"/>
        <w:tblW w:w="1525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02"/>
        <w:gridCol w:w="1007"/>
        <w:gridCol w:w="2433"/>
        <w:gridCol w:w="918"/>
        <w:gridCol w:w="1112"/>
        <w:gridCol w:w="811"/>
        <w:gridCol w:w="1197"/>
        <w:gridCol w:w="5290"/>
        <w:gridCol w:w="1516"/>
        <w:gridCol w:w="373"/>
      </w:tblGrid>
      <w:tr w14:paraId="327A4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02" w:type="dxa"/>
            <w:textDirection w:val="tbRlV"/>
            <w:vAlign w:val="top"/>
          </w:tcPr>
          <w:p w14:paraId="4414B9E9">
            <w:pPr>
              <w:pStyle w:val="25"/>
              <w:spacing w:before="195" w:line="201" w:lineRule="auto"/>
              <w:ind w:left="41"/>
              <w:rPr>
                <w:snapToGrid w:val="0"/>
                <w:color w:val="000000" w:themeColor="text1"/>
                <w:sz w:val="24"/>
                <w:szCs w:val="24"/>
                <w14:textFill>
                  <w14:solidFill>
                    <w14:schemeClr w14:val="tx1"/>
                  </w14:solidFill>
                </w14:textFill>
              </w:rPr>
            </w:pPr>
            <w:r>
              <w:rPr>
                <w:b/>
                <w:bCs/>
                <w:snapToGrid w:val="0"/>
                <w:color w:val="000000" w:themeColor="text1"/>
                <w:spacing w:val="14"/>
                <w:sz w:val="24"/>
                <w:szCs w:val="24"/>
                <w14:textFill>
                  <w14:solidFill>
                    <w14:schemeClr w14:val="tx1"/>
                  </w14:solidFill>
                </w14:textFill>
              </w:rPr>
              <w:t>名称</w:t>
            </w:r>
          </w:p>
        </w:tc>
        <w:tc>
          <w:tcPr>
            <w:tcW w:w="3440" w:type="dxa"/>
            <w:gridSpan w:val="2"/>
            <w:vAlign w:val="top"/>
          </w:tcPr>
          <w:p w14:paraId="6FFCFC04">
            <w:pPr>
              <w:pStyle w:val="25"/>
              <w:spacing w:before="209" w:line="219" w:lineRule="auto"/>
              <w:ind w:left="771"/>
              <w:rPr>
                <w:snapToGrid w:val="0"/>
                <w:color w:val="000000" w:themeColor="text1"/>
                <w:sz w:val="24"/>
                <w:szCs w:val="24"/>
                <w14:textFill>
                  <w14:solidFill>
                    <w14:schemeClr w14:val="tx1"/>
                  </w14:solidFill>
                </w14:textFill>
              </w:rPr>
            </w:pPr>
            <w:r>
              <w:rPr>
                <w:b/>
                <w:bCs/>
                <w:snapToGrid w:val="0"/>
                <w:color w:val="000000" w:themeColor="text1"/>
                <w:spacing w:val="-7"/>
                <w:sz w:val="24"/>
                <w:szCs w:val="24"/>
                <w14:textFill>
                  <w14:solidFill>
                    <w14:schemeClr w14:val="tx1"/>
                  </w14:solidFill>
                </w14:textFill>
              </w:rPr>
              <w:t>单元网格划分情况</w:t>
            </w:r>
          </w:p>
        </w:tc>
        <w:tc>
          <w:tcPr>
            <w:tcW w:w="2841" w:type="dxa"/>
            <w:gridSpan w:val="3"/>
            <w:vAlign w:val="top"/>
          </w:tcPr>
          <w:p w14:paraId="64094D72">
            <w:pPr>
              <w:pStyle w:val="25"/>
              <w:spacing w:before="209" w:line="219" w:lineRule="auto"/>
              <w:ind w:left="473"/>
              <w:rPr>
                <w:snapToGrid w:val="0"/>
                <w:color w:val="000000" w:themeColor="text1"/>
                <w:sz w:val="24"/>
                <w:szCs w:val="24"/>
                <w14:textFill>
                  <w14:solidFill>
                    <w14:schemeClr w14:val="tx1"/>
                  </w14:solidFill>
                </w14:textFill>
              </w:rPr>
            </w:pPr>
            <w:r>
              <w:rPr>
                <w:b/>
                <w:bCs/>
                <w:snapToGrid w:val="0"/>
                <w:color w:val="000000" w:themeColor="text1"/>
                <w:spacing w:val="-7"/>
                <w:sz w:val="24"/>
                <w:szCs w:val="24"/>
                <w14:textFill>
                  <w14:solidFill>
                    <w14:schemeClr w14:val="tx1"/>
                  </w14:solidFill>
                </w14:textFill>
              </w:rPr>
              <w:t>单元网格数量情况</w:t>
            </w:r>
          </w:p>
        </w:tc>
        <w:tc>
          <w:tcPr>
            <w:tcW w:w="6487" w:type="dxa"/>
            <w:gridSpan w:val="2"/>
            <w:vAlign w:val="top"/>
          </w:tcPr>
          <w:p w14:paraId="360E698A">
            <w:pPr>
              <w:pStyle w:val="25"/>
              <w:spacing w:before="209" w:line="219" w:lineRule="auto"/>
              <w:ind w:left="2300"/>
              <w:rPr>
                <w:snapToGrid w:val="0"/>
                <w:color w:val="000000" w:themeColor="text1"/>
                <w:sz w:val="24"/>
                <w:szCs w:val="24"/>
                <w14:textFill>
                  <w14:solidFill>
                    <w14:schemeClr w14:val="tx1"/>
                  </w14:solidFill>
                </w14:textFill>
              </w:rPr>
            </w:pPr>
            <w:r>
              <w:rPr>
                <w:b/>
                <w:bCs/>
                <w:snapToGrid w:val="0"/>
                <w:color w:val="000000" w:themeColor="text1"/>
                <w:spacing w:val="-7"/>
                <w:sz w:val="24"/>
                <w:szCs w:val="24"/>
                <w14:textFill>
                  <w14:solidFill>
                    <w14:schemeClr w14:val="tx1"/>
                  </w14:solidFill>
                </w14:textFill>
              </w:rPr>
              <w:t>单元网格距离情况</w:t>
            </w:r>
          </w:p>
        </w:tc>
        <w:tc>
          <w:tcPr>
            <w:tcW w:w="1516" w:type="dxa"/>
            <w:vAlign w:val="top"/>
          </w:tcPr>
          <w:p w14:paraId="7261DED7">
            <w:pPr>
              <w:pStyle w:val="25"/>
              <w:spacing w:before="208" w:line="220" w:lineRule="auto"/>
              <w:ind w:left="310"/>
              <w:rPr>
                <w:snapToGrid w:val="0"/>
                <w:color w:val="000000" w:themeColor="text1"/>
                <w:sz w:val="24"/>
                <w:szCs w:val="24"/>
                <w14:textFill>
                  <w14:solidFill>
                    <w14:schemeClr w14:val="tx1"/>
                  </w14:solidFill>
                </w14:textFill>
              </w:rPr>
            </w:pPr>
            <w:r>
              <w:rPr>
                <w:b/>
                <w:bCs/>
                <w:snapToGrid w:val="0"/>
                <w:color w:val="000000" w:themeColor="text1"/>
                <w:spacing w:val="-9"/>
                <w:sz w:val="24"/>
                <w:szCs w:val="24"/>
                <w14:textFill>
                  <w14:solidFill>
                    <w14:schemeClr w14:val="tx1"/>
                  </w14:solidFill>
                </w14:textFill>
              </w:rPr>
              <w:t>总量情况</w:t>
            </w:r>
          </w:p>
        </w:tc>
        <w:tc>
          <w:tcPr>
            <w:tcW w:w="373" w:type="dxa"/>
            <w:vMerge w:val="restart"/>
            <w:tcBorders>
              <w:bottom w:val="nil"/>
            </w:tcBorders>
            <w:textDirection w:val="tbRlV"/>
            <w:vAlign w:val="top"/>
          </w:tcPr>
          <w:p w14:paraId="5F647EAC">
            <w:pPr>
              <w:pStyle w:val="25"/>
              <w:spacing w:before="27" w:line="201" w:lineRule="auto"/>
              <w:ind w:left="418"/>
              <w:rPr>
                <w:snapToGrid w:val="0"/>
                <w:color w:val="000000" w:themeColor="text1"/>
                <w:sz w:val="24"/>
                <w:szCs w:val="24"/>
                <w14:textFill>
                  <w14:solidFill>
                    <w14:schemeClr w14:val="tx1"/>
                  </w14:solidFill>
                </w14:textFill>
              </w:rPr>
            </w:pPr>
            <w:r>
              <w:rPr>
                <w:b/>
                <w:bCs/>
                <w:snapToGrid w:val="0"/>
                <w:color w:val="000000" w:themeColor="text1"/>
                <w:spacing w:val="14"/>
                <w:sz w:val="24"/>
                <w:szCs w:val="24"/>
                <w14:textFill>
                  <w14:solidFill>
                    <w14:schemeClr w14:val="tx1"/>
                  </w14:solidFill>
                </w14:textFill>
              </w:rPr>
              <w:t>备注</w:t>
            </w:r>
          </w:p>
        </w:tc>
      </w:tr>
      <w:tr w14:paraId="19623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2" w:hRule="atLeast"/>
        </w:trPr>
        <w:tc>
          <w:tcPr>
            <w:tcW w:w="602" w:type="dxa"/>
            <w:vMerge w:val="restart"/>
            <w:tcBorders>
              <w:bottom w:val="nil"/>
            </w:tcBorders>
            <w:textDirection w:val="tbRlV"/>
            <w:vAlign w:val="top"/>
          </w:tcPr>
          <w:p w14:paraId="16DB3CAA">
            <w:pPr>
              <w:pStyle w:val="25"/>
              <w:spacing w:before="197" w:line="202" w:lineRule="auto"/>
              <w:ind w:left="1131"/>
              <w:rPr>
                <w:snapToGrid w:val="0"/>
                <w:color w:val="000000" w:themeColor="text1"/>
                <w14:textFill>
                  <w14:solidFill>
                    <w14:schemeClr w14:val="tx1"/>
                  </w14:solidFill>
                </w14:textFill>
              </w:rPr>
            </w:pPr>
            <w:r>
              <w:rPr>
                <w:snapToGrid w:val="0"/>
                <w:color w:val="000000" w:themeColor="text1"/>
                <w:spacing w:val="22"/>
                <w:w w:val="116"/>
                <w14:textFill>
                  <w14:solidFill>
                    <w14:schemeClr w14:val="tx1"/>
                  </w14:solidFill>
                </w14:textFill>
              </w:rPr>
              <w:t>云南省元江哈尼族彝族傣族自治县</w:t>
            </w:r>
          </w:p>
        </w:tc>
        <w:tc>
          <w:tcPr>
            <w:tcW w:w="1007" w:type="dxa"/>
            <w:vAlign w:val="top"/>
          </w:tcPr>
          <w:p w14:paraId="7C90B041">
            <w:pPr>
              <w:pStyle w:val="25"/>
              <w:spacing w:before="278" w:line="222" w:lineRule="auto"/>
              <w:ind w:left="298"/>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名称</w:t>
            </w:r>
          </w:p>
        </w:tc>
        <w:tc>
          <w:tcPr>
            <w:tcW w:w="2433" w:type="dxa"/>
            <w:vAlign w:val="top"/>
          </w:tcPr>
          <w:p w14:paraId="32D538B7">
            <w:pPr>
              <w:pStyle w:val="25"/>
              <w:spacing w:before="278" w:line="221" w:lineRule="auto"/>
              <w:ind w:left="819"/>
              <w:rPr>
                <w:snapToGrid w:val="0"/>
                <w:color w:val="000000" w:themeColor="text1"/>
                <w14:textFill>
                  <w14:solidFill>
                    <w14:schemeClr w14:val="tx1"/>
                  </w14:solidFill>
                </w14:textFill>
              </w:rPr>
            </w:pPr>
            <w:r>
              <w:rPr>
                <w:snapToGrid w:val="0"/>
                <w:color w:val="000000" w:themeColor="text1"/>
                <w:spacing w:val="-10"/>
                <w14:textFill>
                  <w14:solidFill>
                    <w14:schemeClr w14:val="tx1"/>
                  </w14:solidFill>
                </w14:textFill>
              </w:rPr>
              <w:t>区域描述</w:t>
            </w:r>
          </w:p>
        </w:tc>
        <w:tc>
          <w:tcPr>
            <w:tcW w:w="918" w:type="dxa"/>
            <w:vAlign w:val="top"/>
          </w:tcPr>
          <w:p w14:paraId="56CB66CE">
            <w:pPr>
              <w:pStyle w:val="25"/>
              <w:spacing w:before="141" w:line="220" w:lineRule="auto"/>
              <w:ind w:left="142"/>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规划数</w:t>
            </w:r>
          </w:p>
          <w:p w14:paraId="4B83C802">
            <w:pPr>
              <w:pStyle w:val="25"/>
              <w:spacing w:before="11" w:line="220" w:lineRule="auto"/>
              <w:ind w:left="152"/>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（个）</w:t>
            </w:r>
          </w:p>
        </w:tc>
        <w:tc>
          <w:tcPr>
            <w:tcW w:w="1112" w:type="dxa"/>
            <w:vAlign w:val="top"/>
          </w:tcPr>
          <w:p w14:paraId="074F3E2C">
            <w:pPr>
              <w:pStyle w:val="25"/>
              <w:spacing w:before="141" w:line="221" w:lineRule="auto"/>
              <w:ind w:left="156"/>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当前实际</w:t>
            </w:r>
          </w:p>
          <w:p w14:paraId="7E8148D7">
            <w:pPr>
              <w:pStyle w:val="25"/>
              <w:spacing w:before="10" w:line="220" w:lineRule="auto"/>
              <w:ind w:left="132"/>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数（个）</w:t>
            </w:r>
          </w:p>
        </w:tc>
        <w:tc>
          <w:tcPr>
            <w:tcW w:w="811" w:type="dxa"/>
            <w:vAlign w:val="top"/>
          </w:tcPr>
          <w:p w14:paraId="7DE25029">
            <w:pPr>
              <w:pStyle w:val="25"/>
              <w:spacing w:before="141" w:line="221" w:lineRule="auto"/>
              <w:ind w:left="198"/>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余量</w:t>
            </w:r>
          </w:p>
          <w:p w14:paraId="0D1CBD87">
            <w:pPr>
              <w:pStyle w:val="25"/>
              <w:spacing w:before="10" w:line="220" w:lineRule="auto"/>
              <w:ind w:left="134"/>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（个）</w:t>
            </w:r>
          </w:p>
        </w:tc>
        <w:tc>
          <w:tcPr>
            <w:tcW w:w="1197" w:type="dxa"/>
            <w:vAlign w:val="top"/>
          </w:tcPr>
          <w:p w14:paraId="1D09865A">
            <w:pPr>
              <w:pStyle w:val="25"/>
              <w:spacing w:before="141" w:line="220" w:lineRule="auto"/>
              <w:ind w:left="171"/>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零售点距</w:t>
            </w:r>
          </w:p>
          <w:p w14:paraId="2A4CE478">
            <w:pPr>
              <w:pStyle w:val="25"/>
              <w:spacing w:before="11" w:line="220" w:lineRule="auto"/>
              <w:ind w:left="292"/>
              <w:rPr>
                <w:snapToGrid w:val="0"/>
                <w:color w:val="000000" w:themeColor="text1"/>
                <w14:textFill>
                  <w14:solidFill>
                    <w14:schemeClr w14:val="tx1"/>
                  </w14:solidFill>
                </w14:textFill>
              </w:rPr>
            </w:pPr>
            <w:r>
              <w:rPr>
                <w:snapToGrid w:val="0"/>
                <w:color w:val="000000" w:themeColor="text1"/>
                <w:spacing w:val="-7"/>
                <w14:textFill>
                  <w14:solidFill>
                    <w14:schemeClr w14:val="tx1"/>
                  </w14:solidFill>
                </w14:textFill>
              </w:rPr>
              <w:t>（米）</w:t>
            </w:r>
          </w:p>
        </w:tc>
        <w:tc>
          <w:tcPr>
            <w:tcW w:w="5290" w:type="dxa"/>
            <w:vAlign w:val="top"/>
          </w:tcPr>
          <w:p w14:paraId="23CC1821">
            <w:pPr>
              <w:pStyle w:val="25"/>
              <w:spacing w:before="275" w:line="220" w:lineRule="auto"/>
              <w:ind w:left="2001"/>
              <w:rPr>
                <w:snapToGrid w:val="0"/>
                <w:color w:val="000000" w:themeColor="text1"/>
                <w14:textFill>
                  <w14:solidFill>
                    <w14:schemeClr w14:val="tx1"/>
                  </w14:solidFill>
                </w14:textFill>
              </w:rPr>
            </w:pPr>
            <w:r>
              <w:rPr>
                <w:snapToGrid w:val="0"/>
                <w:color w:val="000000" w:themeColor="text1"/>
                <w:spacing w:val="-3"/>
                <w14:textFill>
                  <w14:solidFill>
                    <w14:schemeClr w14:val="tx1"/>
                  </w14:solidFill>
                </w14:textFill>
              </w:rPr>
              <w:t>其他条件描述</w:t>
            </w:r>
          </w:p>
        </w:tc>
        <w:tc>
          <w:tcPr>
            <w:tcW w:w="1516" w:type="dxa"/>
            <w:vAlign w:val="top"/>
          </w:tcPr>
          <w:p w14:paraId="2A239523">
            <w:pPr>
              <w:pStyle w:val="25"/>
              <w:spacing w:before="140" w:line="232" w:lineRule="auto"/>
              <w:ind w:left="126" w:right="112" w:firstLine="101"/>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元江县总量</w:t>
            </w:r>
            <w:r>
              <w:rPr>
                <w:snapToGrid w:val="0"/>
                <w:color w:val="000000" w:themeColor="text1"/>
                <w14:textFill>
                  <w14:solidFill>
                    <w14:schemeClr w14:val="tx1"/>
                  </w14:solidFill>
                </w14:textFill>
              </w:rPr>
              <w:t xml:space="preserve"> </w:t>
            </w:r>
            <w:r>
              <w:rPr>
                <w:snapToGrid w:val="0"/>
                <w:color w:val="000000" w:themeColor="text1"/>
                <w:spacing w:val="-9"/>
                <w14:textFill>
                  <w14:solidFill>
                    <w14:schemeClr w14:val="tx1"/>
                  </w14:solidFill>
                </w14:textFill>
              </w:rPr>
              <w:t>规划数（个）</w:t>
            </w:r>
          </w:p>
        </w:tc>
        <w:tc>
          <w:tcPr>
            <w:tcW w:w="373" w:type="dxa"/>
            <w:vMerge w:val="continue"/>
            <w:tcBorders>
              <w:top w:val="nil"/>
            </w:tcBorders>
            <w:textDirection w:val="tbRlV"/>
            <w:vAlign w:val="top"/>
          </w:tcPr>
          <w:p w14:paraId="5B0870E3">
            <w:pPr>
              <w:rPr>
                <w:rFonts w:ascii="Arial"/>
                <w:snapToGrid w:val="0"/>
                <w:color w:val="000000" w:themeColor="text1"/>
                <w:sz w:val="21"/>
                <w14:textFill>
                  <w14:solidFill>
                    <w14:schemeClr w14:val="tx1"/>
                  </w14:solidFill>
                </w14:textFill>
              </w:rPr>
            </w:pPr>
          </w:p>
        </w:tc>
      </w:tr>
      <w:tr w14:paraId="03FA9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602" w:type="dxa"/>
            <w:vMerge w:val="continue"/>
            <w:tcBorders>
              <w:top w:val="nil"/>
              <w:bottom w:val="nil"/>
            </w:tcBorders>
            <w:textDirection w:val="tbRlV"/>
            <w:vAlign w:val="top"/>
          </w:tcPr>
          <w:p w14:paraId="7DA2A4D5">
            <w:pPr>
              <w:rPr>
                <w:rFonts w:ascii="Arial"/>
                <w:snapToGrid w:val="0"/>
                <w:color w:val="000000" w:themeColor="text1"/>
                <w:sz w:val="21"/>
                <w14:textFill>
                  <w14:solidFill>
                    <w14:schemeClr w14:val="tx1"/>
                  </w14:solidFill>
                </w14:textFill>
              </w:rPr>
            </w:pPr>
          </w:p>
        </w:tc>
        <w:tc>
          <w:tcPr>
            <w:tcW w:w="1007" w:type="dxa"/>
            <w:vAlign w:val="top"/>
          </w:tcPr>
          <w:p w14:paraId="1DEFFAFD">
            <w:pPr>
              <w:pStyle w:val="25"/>
              <w:spacing w:before="55" w:line="218" w:lineRule="auto"/>
              <w:ind w:left="400" w:right="172" w:hanging="207"/>
              <w:rPr>
                <w:snapToGrid w:val="0"/>
                <w:color w:val="000000" w:themeColor="text1"/>
                <w14:textFill>
                  <w14:solidFill>
                    <w14:schemeClr w14:val="tx1"/>
                  </w14:solidFill>
                </w14:textFill>
              </w:rPr>
            </w:pPr>
            <w:r>
              <w:rPr>
                <w:snapToGrid w:val="0"/>
                <w:color w:val="000000" w:themeColor="text1"/>
                <w:spacing w:val="-8"/>
                <w14:textFill>
                  <w14:solidFill>
                    <w14:schemeClr w14:val="tx1"/>
                  </w14:solidFill>
                </w14:textFill>
              </w:rPr>
              <w:t>红河街</w:t>
            </w:r>
            <w:r>
              <w:rPr>
                <w:snapToGrid w:val="0"/>
                <w:color w:val="000000" w:themeColor="text1"/>
                <w14:textFill>
                  <w14:solidFill>
                    <w14:schemeClr w14:val="tx1"/>
                  </w14:solidFill>
                </w14:textFill>
              </w:rPr>
              <w:t xml:space="preserve"> 道</w:t>
            </w:r>
          </w:p>
        </w:tc>
        <w:tc>
          <w:tcPr>
            <w:tcW w:w="2433" w:type="dxa"/>
            <w:vAlign w:val="top"/>
          </w:tcPr>
          <w:p w14:paraId="61D2C60E">
            <w:pPr>
              <w:pStyle w:val="25"/>
              <w:spacing w:before="193" w:line="220" w:lineRule="auto"/>
              <w:ind w:left="796"/>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红河街道</w:t>
            </w:r>
          </w:p>
        </w:tc>
        <w:tc>
          <w:tcPr>
            <w:tcW w:w="918" w:type="dxa"/>
            <w:vAlign w:val="center"/>
          </w:tcPr>
          <w:p w14:paraId="7DE32B3E">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449</w:t>
            </w:r>
          </w:p>
        </w:tc>
        <w:tc>
          <w:tcPr>
            <w:tcW w:w="1112" w:type="dxa"/>
            <w:vAlign w:val="center"/>
          </w:tcPr>
          <w:p w14:paraId="237D48A2">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442</w:t>
            </w:r>
          </w:p>
        </w:tc>
        <w:tc>
          <w:tcPr>
            <w:tcW w:w="811" w:type="dxa"/>
            <w:vAlign w:val="center"/>
          </w:tcPr>
          <w:p w14:paraId="16A1B724">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7</w:t>
            </w:r>
          </w:p>
        </w:tc>
        <w:tc>
          <w:tcPr>
            <w:tcW w:w="1197" w:type="dxa"/>
            <w:vAlign w:val="center"/>
          </w:tcPr>
          <w:p w14:paraId="00C30B71">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50</w:t>
            </w:r>
          </w:p>
        </w:tc>
        <w:tc>
          <w:tcPr>
            <w:tcW w:w="5290" w:type="dxa"/>
            <w:vMerge w:val="restart"/>
            <w:tcBorders>
              <w:bottom w:val="nil"/>
            </w:tcBorders>
            <w:vAlign w:val="top"/>
          </w:tcPr>
          <w:p w14:paraId="43C04960">
            <w:pPr>
              <w:spacing w:line="351" w:lineRule="auto"/>
              <w:rPr>
                <w:rFonts w:ascii="Arial"/>
                <w:snapToGrid w:val="0"/>
                <w:color w:val="000000" w:themeColor="text1"/>
                <w:sz w:val="21"/>
                <w14:textFill>
                  <w14:solidFill>
                    <w14:schemeClr w14:val="tx1"/>
                  </w14:solidFill>
                </w14:textFill>
              </w:rPr>
            </w:pPr>
          </w:p>
          <w:p w14:paraId="159B9732">
            <w:pPr>
              <w:spacing w:line="351" w:lineRule="auto"/>
              <w:rPr>
                <w:rFonts w:ascii="Arial"/>
                <w:snapToGrid w:val="0"/>
                <w:color w:val="000000" w:themeColor="text1"/>
                <w:sz w:val="21"/>
                <w14:textFill>
                  <w14:solidFill>
                    <w14:schemeClr w14:val="tx1"/>
                  </w14:solidFill>
                </w14:textFill>
              </w:rPr>
            </w:pPr>
          </w:p>
          <w:p w14:paraId="2CB5C47C">
            <w:pPr>
              <w:pStyle w:val="25"/>
              <w:spacing w:before="72" w:line="234" w:lineRule="auto"/>
              <w:ind w:left="117" w:right="33" w:firstLine="36"/>
              <w:rPr>
                <w:snapToGrid w:val="0"/>
                <w:color w:val="000000" w:themeColor="text1"/>
                <w14:textFill>
                  <w14:solidFill>
                    <w14:schemeClr w14:val="tx1"/>
                  </w14:solidFill>
                </w14:textFill>
              </w:rPr>
            </w:pPr>
            <w:r>
              <w:rPr>
                <w:snapToGrid w:val="0"/>
                <w:color w:val="000000" w:themeColor="text1"/>
                <w:spacing w:val="1"/>
                <w14:textFill>
                  <w14:solidFill>
                    <w14:schemeClr w14:val="tx1"/>
                  </w14:solidFill>
                </w14:textFill>
              </w:rPr>
              <w:t>1.人口较为集中、相对独立的综合性商（集、农）贸</w:t>
            </w:r>
            <w:r>
              <w:rPr>
                <w:snapToGrid w:val="0"/>
                <w:color w:val="000000" w:themeColor="text1"/>
                <w:spacing w:val="6"/>
                <w14:textFill>
                  <w14:solidFill>
                    <w14:schemeClr w14:val="tx1"/>
                  </w14:solidFill>
                </w14:textFill>
              </w:rPr>
              <w:t xml:space="preserve"> </w:t>
            </w:r>
            <w:r>
              <w:rPr>
                <w:snapToGrid w:val="0"/>
                <w:color w:val="000000" w:themeColor="text1"/>
                <w:spacing w:val="-2"/>
                <w14:textFill>
                  <w14:solidFill>
                    <w14:schemeClr w14:val="tx1"/>
                  </w14:solidFill>
                </w14:textFill>
              </w:rPr>
              <w:t>市场，根据该区域内固定商铺数量，每10个商铺设置1</w:t>
            </w:r>
            <w:r>
              <w:rPr>
                <w:snapToGrid w:val="0"/>
                <w:color w:val="000000" w:themeColor="text1"/>
                <w:spacing w:val="9"/>
                <w14:textFill>
                  <w14:solidFill>
                    <w14:schemeClr w14:val="tx1"/>
                  </w14:solidFill>
                </w14:textFill>
              </w:rPr>
              <w:t xml:space="preserve"> </w:t>
            </w:r>
            <w:r>
              <w:rPr>
                <w:snapToGrid w:val="0"/>
                <w:color w:val="000000" w:themeColor="text1"/>
                <w:spacing w:val="2"/>
                <w14:textFill>
                  <w14:solidFill>
                    <w14:schemeClr w14:val="tx1"/>
                  </w14:solidFill>
                </w14:textFill>
              </w:rPr>
              <w:t>个零售点，零售点间距不低于15米（含）, 且零售点</w:t>
            </w:r>
            <w:r>
              <w:rPr>
                <w:snapToGrid w:val="0"/>
                <w:color w:val="000000" w:themeColor="text1"/>
                <w:spacing w:val="15"/>
                <w14:textFill>
                  <w14:solidFill>
                    <w14:schemeClr w14:val="tx1"/>
                  </w14:solidFill>
                </w14:textFill>
              </w:rPr>
              <w:t xml:space="preserve"> </w:t>
            </w:r>
            <w:r>
              <w:rPr>
                <w:snapToGrid w:val="0"/>
                <w:color w:val="000000" w:themeColor="text1"/>
                <w:spacing w:val="-2"/>
                <w14:textFill>
                  <w14:solidFill>
                    <w14:schemeClr w14:val="tx1"/>
                  </w14:solidFill>
                </w14:textFill>
              </w:rPr>
              <w:t>不得超过该市场内商铺总数的10%。若该区域内固定商</w:t>
            </w:r>
            <w:r>
              <w:rPr>
                <w:snapToGrid w:val="0"/>
                <w:color w:val="000000" w:themeColor="text1"/>
                <w:spacing w:val="12"/>
                <w14:textFill>
                  <w14:solidFill>
                    <w14:schemeClr w14:val="tx1"/>
                  </w14:solidFill>
                </w14:textFill>
              </w:rPr>
              <w:t xml:space="preserve"> </w:t>
            </w:r>
            <w:r>
              <w:rPr>
                <w:snapToGrid w:val="0"/>
                <w:color w:val="000000" w:themeColor="text1"/>
                <w:spacing w:val="-2"/>
                <w14:textFill>
                  <w14:solidFill>
                    <w14:schemeClr w14:val="tx1"/>
                  </w14:solidFill>
                </w14:textFill>
              </w:rPr>
              <w:t>铺数量不足10个，且无零售点的，可设置1个零售点。</w:t>
            </w:r>
            <w:r>
              <w:rPr>
                <w:snapToGrid w:val="0"/>
                <w:color w:val="000000" w:themeColor="text1"/>
                <w:spacing w:val="12"/>
                <w14:textFill>
                  <w14:solidFill>
                    <w14:schemeClr w14:val="tx1"/>
                  </w14:solidFill>
                </w14:textFill>
              </w:rPr>
              <w:t xml:space="preserve"> </w:t>
            </w:r>
            <w:r>
              <w:rPr>
                <w:snapToGrid w:val="0"/>
                <w:color w:val="000000" w:themeColor="text1"/>
                <w:spacing w:val="2"/>
                <w14:textFill>
                  <w14:solidFill>
                    <w14:schemeClr w14:val="tx1"/>
                  </w14:solidFill>
                </w14:textFill>
              </w:rPr>
              <w:t>内外相通的临街铺面需同时达到内部数量限制和外围</w:t>
            </w:r>
            <w:r>
              <w:rPr>
                <w:snapToGrid w:val="0"/>
                <w:color w:val="000000" w:themeColor="text1"/>
                <w:spacing w:val="18"/>
                <w14:textFill>
                  <w14:solidFill>
                    <w14:schemeClr w14:val="tx1"/>
                  </w14:solidFill>
                </w14:textFill>
              </w:rPr>
              <w:t xml:space="preserve"> </w:t>
            </w:r>
            <w:r>
              <w:rPr>
                <w:snapToGrid w:val="0"/>
                <w:color w:val="000000" w:themeColor="text1"/>
                <w:spacing w:val="-2"/>
                <w14:textFill>
                  <w14:solidFill>
                    <w14:schemeClr w14:val="tx1"/>
                  </w14:solidFill>
                </w14:textFill>
              </w:rPr>
              <w:t>区域距离限制条件；</w:t>
            </w:r>
          </w:p>
          <w:p w14:paraId="20B8D411">
            <w:pPr>
              <w:pStyle w:val="25"/>
              <w:spacing w:before="40" w:line="232" w:lineRule="auto"/>
              <w:ind w:left="117" w:right="98" w:firstLine="8"/>
              <w:rPr>
                <w:snapToGrid w:val="0"/>
                <w:color w:val="000000" w:themeColor="text1"/>
                <w14:textFill>
                  <w14:solidFill>
                    <w14:schemeClr w14:val="tx1"/>
                  </w14:solidFill>
                </w14:textFill>
              </w:rPr>
            </w:pPr>
            <w:r>
              <w:rPr>
                <w:snapToGrid w:val="0"/>
                <w:color w:val="000000" w:themeColor="text1"/>
                <w14:textFill>
                  <w14:solidFill>
                    <w14:schemeClr w14:val="tx1"/>
                  </w14:solidFill>
                </w14:textFill>
              </w:rPr>
              <w:t xml:space="preserve">2.产业园区、特色小镇、旅游风景区、大型厂矿内， </w:t>
            </w:r>
            <w:r>
              <w:rPr>
                <w:snapToGrid w:val="0"/>
                <w:color w:val="000000" w:themeColor="text1"/>
                <w:spacing w:val="-4"/>
                <w14:textFill>
                  <w14:solidFill>
                    <w14:schemeClr w14:val="tx1"/>
                  </w14:solidFill>
                </w14:textFill>
              </w:rPr>
              <w:t>根据该区域内固定商铺数量，每10个商铺设置1</w:t>
            </w:r>
            <w:r>
              <w:rPr>
                <w:snapToGrid w:val="0"/>
                <w:color w:val="000000" w:themeColor="text1"/>
                <w:spacing w:val="-5"/>
                <w14:textFill>
                  <w14:solidFill>
                    <w14:schemeClr w14:val="tx1"/>
                  </w14:solidFill>
                </w14:textFill>
              </w:rPr>
              <w:t>个零售</w:t>
            </w:r>
            <w:r>
              <w:rPr>
                <w:snapToGrid w:val="0"/>
                <w:color w:val="000000" w:themeColor="text1"/>
                <w14:textFill>
                  <w14:solidFill>
                    <w14:schemeClr w14:val="tx1"/>
                  </w14:solidFill>
                </w14:textFill>
              </w:rPr>
              <w:t xml:space="preserve"> </w:t>
            </w:r>
            <w:r>
              <w:rPr>
                <w:snapToGrid w:val="0"/>
                <w:color w:val="000000" w:themeColor="text1"/>
                <w:spacing w:val="-2"/>
                <w14:textFill>
                  <w14:solidFill>
                    <w14:schemeClr w14:val="tx1"/>
                  </w14:solidFill>
                </w14:textFill>
              </w:rPr>
              <w:t>点，零售点间距不低于15米（含</w:t>
            </w:r>
            <w:r>
              <w:rPr>
                <w:snapToGrid w:val="0"/>
                <w:color w:val="000000" w:themeColor="text1"/>
                <w:spacing w:val="22"/>
                <w14:textFill>
                  <w14:solidFill>
                    <w14:schemeClr w14:val="tx1"/>
                  </w14:solidFill>
                </w14:textFill>
              </w:rPr>
              <w:t>），</w:t>
            </w:r>
            <w:r>
              <w:rPr>
                <w:snapToGrid w:val="0"/>
                <w:color w:val="000000" w:themeColor="text1"/>
                <w:spacing w:val="-2"/>
                <w14:textFill>
                  <w14:solidFill>
                    <w14:schemeClr w14:val="tx1"/>
                  </w14:solidFill>
                </w14:textFill>
              </w:rPr>
              <w:t>设置总量最多不</w:t>
            </w:r>
            <w:r>
              <w:rPr>
                <w:snapToGrid w:val="0"/>
                <w:color w:val="000000" w:themeColor="text1"/>
                <w14:textFill>
                  <w14:solidFill>
                    <w14:schemeClr w14:val="tx1"/>
                  </w14:solidFill>
                </w14:textFill>
              </w:rPr>
              <w:t xml:space="preserve"> </w:t>
            </w:r>
            <w:r>
              <w:rPr>
                <w:snapToGrid w:val="0"/>
                <w:color w:val="000000" w:themeColor="text1"/>
                <w:spacing w:val="-1"/>
                <w14:textFill>
                  <w14:solidFill>
                    <w14:schemeClr w14:val="tx1"/>
                  </w14:solidFill>
                </w14:textFill>
              </w:rPr>
              <w:t>超过10户。若该区域内固定商铺数量不足10个，且无</w:t>
            </w:r>
            <w:r>
              <w:rPr>
                <w:snapToGrid w:val="0"/>
                <w:color w:val="000000" w:themeColor="text1"/>
                <w:spacing w:val="18"/>
                <w14:textFill>
                  <w14:solidFill>
                    <w14:schemeClr w14:val="tx1"/>
                  </w14:solidFill>
                </w14:textFill>
              </w:rPr>
              <w:t xml:space="preserve"> </w:t>
            </w:r>
            <w:r>
              <w:rPr>
                <w:snapToGrid w:val="0"/>
                <w:color w:val="000000" w:themeColor="text1"/>
                <w:spacing w:val="-2"/>
                <w14:textFill>
                  <w14:solidFill>
                    <w14:schemeClr w14:val="tx1"/>
                  </w14:solidFill>
                </w14:textFill>
              </w:rPr>
              <w:t>零售点的，可设置1个零售点。</w:t>
            </w:r>
          </w:p>
          <w:p w14:paraId="26A5CD37">
            <w:pPr>
              <w:pStyle w:val="25"/>
              <w:spacing w:before="39" w:line="228" w:lineRule="auto"/>
              <w:ind w:left="117" w:right="101" w:firstLine="12"/>
              <w:rPr>
                <w:snapToGrid w:val="0"/>
                <w:color w:val="000000" w:themeColor="text1"/>
                <w14:textFill>
                  <w14:solidFill>
                    <w14:schemeClr w14:val="tx1"/>
                  </w14:solidFill>
                </w14:textFill>
              </w:rPr>
            </w:pPr>
            <w:r>
              <w:rPr>
                <w:snapToGrid w:val="0"/>
                <w:color w:val="000000" w:themeColor="text1"/>
                <w:spacing w:val="-1"/>
                <w14:textFill>
                  <w14:solidFill>
                    <w14:schemeClr w14:val="tx1"/>
                  </w14:solidFill>
                </w14:textFill>
              </w:rPr>
              <w:t>3.行政村（不含城区城中村、辖区主要街道）按照常</w:t>
            </w:r>
            <w:r>
              <w:rPr>
                <w:snapToGrid w:val="0"/>
                <w:color w:val="000000" w:themeColor="text1"/>
                <w:spacing w:val="16"/>
                <w14:textFill>
                  <w14:solidFill>
                    <w14:schemeClr w14:val="tx1"/>
                  </w14:solidFill>
                </w14:textFill>
              </w:rPr>
              <w:t xml:space="preserve"> </w:t>
            </w:r>
            <w:r>
              <w:rPr>
                <w:snapToGrid w:val="0"/>
                <w:color w:val="000000" w:themeColor="text1"/>
                <w14:textFill>
                  <w14:solidFill>
                    <w14:schemeClr w14:val="tx1"/>
                  </w14:solidFill>
                </w14:textFill>
              </w:rPr>
              <w:t>住人口800人以上设置1个零售点，每增加800人增设1</w:t>
            </w:r>
            <w:r>
              <w:rPr>
                <w:snapToGrid w:val="0"/>
                <w:color w:val="000000" w:themeColor="text1"/>
                <w:spacing w:val="4"/>
                <w14:textFill>
                  <w14:solidFill>
                    <w14:schemeClr w14:val="tx1"/>
                  </w14:solidFill>
                </w14:textFill>
              </w:rPr>
              <w:t xml:space="preserve"> </w:t>
            </w:r>
            <w:r>
              <w:rPr>
                <w:snapToGrid w:val="0"/>
                <w:color w:val="000000" w:themeColor="text1"/>
                <w:spacing w:val="-3"/>
                <w14:textFill>
                  <w14:solidFill>
                    <w14:schemeClr w14:val="tx1"/>
                  </w14:solidFill>
                </w14:textFill>
              </w:rPr>
              <w:t>个零售点。</w:t>
            </w:r>
          </w:p>
        </w:tc>
        <w:tc>
          <w:tcPr>
            <w:tcW w:w="1516" w:type="dxa"/>
            <w:vMerge w:val="restart"/>
            <w:tcBorders>
              <w:bottom w:val="nil"/>
            </w:tcBorders>
            <w:vAlign w:val="top"/>
          </w:tcPr>
          <w:p w14:paraId="6B3EC8AE">
            <w:pPr>
              <w:spacing w:line="243" w:lineRule="auto"/>
              <w:rPr>
                <w:rFonts w:ascii="Arial"/>
                <w:snapToGrid w:val="0"/>
                <w:color w:val="000000" w:themeColor="text1"/>
                <w:sz w:val="21"/>
                <w14:textFill>
                  <w14:solidFill>
                    <w14:schemeClr w14:val="tx1"/>
                  </w14:solidFill>
                </w14:textFill>
              </w:rPr>
            </w:pPr>
          </w:p>
          <w:p w14:paraId="6B0937F2">
            <w:pPr>
              <w:spacing w:line="243" w:lineRule="auto"/>
              <w:rPr>
                <w:rFonts w:ascii="Arial"/>
                <w:snapToGrid w:val="0"/>
                <w:color w:val="000000" w:themeColor="text1"/>
                <w:sz w:val="21"/>
                <w14:textFill>
                  <w14:solidFill>
                    <w14:schemeClr w14:val="tx1"/>
                  </w14:solidFill>
                </w14:textFill>
              </w:rPr>
            </w:pPr>
          </w:p>
          <w:p w14:paraId="26F56BFA">
            <w:pPr>
              <w:spacing w:line="243" w:lineRule="auto"/>
              <w:rPr>
                <w:rFonts w:ascii="Arial"/>
                <w:snapToGrid w:val="0"/>
                <w:color w:val="000000" w:themeColor="text1"/>
                <w:sz w:val="21"/>
                <w14:textFill>
                  <w14:solidFill>
                    <w14:schemeClr w14:val="tx1"/>
                  </w14:solidFill>
                </w14:textFill>
              </w:rPr>
            </w:pPr>
          </w:p>
          <w:p w14:paraId="7D7EF9A2">
            <w:pPr>
              <w:spacing w:line="243" w:lineRule="auto"/>
              <w:rPr>
                <w:rFonts w:ascii="Arial"/>
                <w:snapToGrid w:val="0"/>
                <w:color w:val="000000" w:themeColor="text1"/>
                <w:sz w:val="21"/>
                <w14:textFill>
                  <w14:solidFill>
                    <w14:schemeClr w14:val="tx1"/>
                  </w14:solidFill>
                </w14:textFill>
              </w:rPr>
            </w:pPr>
          </w:p>
          <w:p w14:paraId="5982FA7E">
            <w:pPr>
              <w:spacing w:line="243" w:lineRule="auto"/>
              <w:rPr>
                <w:rFonts w:ascii="Arial"/>
                <w:snapToGrid w:val="0"/>
                <w:color w:val="000000" w:themeColor="text1"/>
                <w:sz w:val="21"/>
                <w14:textFill>
                  <w14:solidFill>
                    <w14:schemeClr w14:val="tx1"/>
                  </w14:solidFill>
                </w14:textFill>
              </w:rPr>
            </w:pPr>
          </w:p>
          <w:p w14:paraId="3EC019A7">
            <w:pPr>
              <w:spacing w:line="243" w:lineRule="auto"/>
              <w:rPr>
                <w:rFonts w:ascii="Arial"/>
                <w:snapToGrid w:val="0"/>
                <w:color w:val="000000" w:themeColor="text1"/>
                <w:sz w:val="21"/>
                <w14:textFill>
                  <w14:solidFill>
                    <w14:schemeClr w14:val="tx1"/>
                  </w14:solidFill>
                </w14:textFill>
              </w:rPr>
            </w:pPr>
          </w:p>
          <w:p w14:paraId="65775912">
            <w:pPr>
              <w:spacing w:line="243" w:lineRule="auto"/>
              <w:rPr>
                <w:rFonts w:ascii="Arial"/>
                <w:snapToGrid w:val="0"/>
                <w:color w:val="000000" w:themeColor="text1"/>
                <w:sz w:val="21"/>
                <w14:textFill>
                  <w14:solidFill>
                    <w14:schemeClr w14:val="tx1"/>
                  </w14:solidFill>
                </w14:textFill>
              </w:rPr>
            </w:pPr>
          </w:p>
          <w:p w14:paraId="2204E9DE">
            <w:pPr>
              <w:spacing w:line="243" w:lineRule="auto"/>
              <w:rPr>
                <w:rFonts w:ascii="Arial"/>
                <w:snapToGrid w:val="0"/>
                <w:color w:val="000000" w:themeColor="text1"/>
                <w:sz w:val="21"/>
                <w14:textFill>
                  <w14:solidFill>
                    <w14:schemeClr w14:val="tx1"/>
                  </w14:solidFill>
                </w14:textFill>
              </w:rPr>
            </w:pPr>
          </w:p>
          <w:p w14:paraId="027DA6AA">
            <w:pPr>
              <w:spacing w:line="243" w:lineRule="auto"/>
              <w:rPr>
                <w:rFonts w:ascii="Arial"/>
                <w:snapToGrid w:val="0"/>
                <w:color w:val="000000" w:themeColor="text1"/>
                <w:sz w:val="21"/>
                <w14:textFill>
                  <w14:solidFill>
                    <w14:schemeClr w14:val="tx1"/>
                  </w14:solidFill>
                </w14:textFill>
              </w:rPr>
            </w:pPr>
          </w:p>
          <w:p w14:paraId="3B72E7F2">
            <w:pPr>
              <w:spacing w:line="244" w:lineRule="auto"/>
              <w:rPr>
                <w:rFonts w:ascii="Arial"/>
                <w:snapToGrid w:val="0"/>
                <w:color w:val="000000" w:themeColor="text1"/>
                <w:sz w:val="21"/>
                <w14:textFill>
                  <w14:solidFill>
                    <w14:schemeClr w14:val="tx1"/>
                  </w14:solidFill>
                </w14:textFill>
              </w:rPr>
            </w:pPr>
          </w:p>
          <w:p w14:paraId="41E4B744">
            <w:pPr>
              <w:spacing w:line="244" w:lineRule="auto"/>
              <w:rPr>
                <w:rFonts w:ascii="Arial"/>
                <w:snapToGrid w:val="0"/>
                <w:color w:val="000000" w:themeColor="text1"/>
                <w:sz w:val="21"/>
                <w14:textFill>
                  <w14:solidFill>
                    <w14:schemeClr w14:val="tx1"/>
                  </w14:solidFill>
                </w14:textFill>
              </w:rPr>
            </w:pPr>
          </w:p>
          <w:p w14:paraId="2A2D7729">
            <w:pPr>
              <w:pStyle w:val="25"/>
              <w:spacing w:before="72"/>
              <w:ind w:left="590"/>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1200</w:t>
            </w:r>
          </w:p>
        </w:tc>
        <w:tc>
          <w:tcPr>
            <w:tcW w:w="373" w:type="dxa"/>
            <w:vAlign w:val="top"/>
          </w:tcPr>
          <w:p w14:paraId="5A242425">
            <w:pPr>
              <w:rPr>
                <w:rFonts w:ascii="Arial"/>
                <w:snapToGrid w:val="0"/>
                <w:color w:val="000000" w:themeColor="text1"/>
                <w:sz w:val="21"/>
                <w14:textFill>
                  <w14:solidFill>
                    <w14:schemeClr w14:val="tx1"/>
                  </w14:solidFill>
                </w14:textFill>
              </w:rPr>
            </w:pPr>
          </w:p>
        </w:tc>
      </w:tr>
      <w:tr w14:paraId="75433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4" w:hRule="atLeast"/>
        </w:trPr>
        <w:tc>
          <w:tcPr>
            <w:tcW w:w="602" w:type="dxa"/>
            <w:vMerge w:val="continue"/>
            <w:tcBorders>
              <w:top w:val="nil"/>
              <w:bottom w:val="nil"/>
            </w:tcBorders>
            <w:textDirection w:val="tbRlV"/>
            <w:vAlign w:val="top"/>
          </w:tcPr>
          <w:p w14:paraId="0C60C6AD">
            <w:pPr>
              <w:rPr>
                <w:rFonts w:ascii="Arial"/>
                <w:snapToGrid w:val="0"/>
                <w:color w:val="000000" w:themeColor="text1"/>
                <w:sz w:val="21"/>
                <w14:textFill>
                  <w14:solidFill>
                    <w14:schemeClr w14:val="tx1"/>
                  </w14:solidFill>
                </w14:textFill>
              </w:rPr>
            </w:pPr>
          </w:p>
        </w:tc>
        <w:tc>
          <w:tcPr>
            <w:tcW w:w="1007" w:type="dxa"/>
            <w:vAlign w:val="top"/>
          </w:tcPr>
          <w:p w14:paraId="248C4C41">
            <w:pPr>
              <w:spacing w:line="431" w:lineRule="auto"/>
              <w:rPr>
                <w:rFonts w:ascii="Arial"/>
                <w:snapToGrid w:val="0"/>
                <w:color w:val="000000" w:themeColor="text1"/>
                <w:sz w:val="21"/>
                <w14:textFill>
                  <w14:solidFill>
                    <w14:schemeClr w14:val="tx1"/>
                  </w14:solidFill>
                </w14:textFill>
              </w:rPr>
            </w:pPr>
          </w:p>
          <w:p w14:paraId="3713E8D1">
            <w:pPr>
              <w:pStyle w:val="25"/>
              <w:spacing w:before="72" w:line="220" w:lineRule="auto"/>
              <w:ind w:left="187"/>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澧江街</w:t>
            </w:r>
          </w:p>
          <w:p w14:paraId="468DBB37">
            <w:pPr>
              <w:pStyle w:val="25"/>
              <w:spacing w:before="13" w:line="227" w:lineRule="auto"/>
              <w:ind w:left="290"/>
              <w:rPr>
                <w:snapToGrid w:val="0"/>
                <w:color w:val="000000" w:themeColor="text1"/>
                <w14:textFill>
                  <w14:solidFill>
                    <w14:schemeClr w14:val="tx1"/>
                  </w14:solidFill>
                </w14:textFill>
              </w:rPr>
            </w:pPr>
            <w:r>
              <w:rPr>
                <w:snapToGrid w:val="0"/>
                <w:color w:val="000000" w:themeColor="text1"/>
                <w:spacing w:val="-3"/>
                <w14:textFill>
                  <w14:solidFill>
                    <w14:schemeClr w14:val="tx1"/>
                  </w14:solidFill>
                </w14:textFill>
              </w:rPr>
              <w:t>道-1</w:t>
            </w:r>
          </w:p>
        </w:tc>
        <w:tc>
          <w:tcPr>
            <w:tcW w:w="2433" w:type="dxa"/>
            <w:vAlign w:val="top"/>
          </w:tcPr>
          <w:p w14:paraId="2FA06037">
            <w:pPr>
              <w:pStyle w:val="25"/>
              <w:spacing w:before="76" w:line="220" w:lineRule="auto"/>
              <w:ind w:left="130"/>
              <w:rPr>
                <w:snapToGrid w:val="0"/>
                <w:color w:val="000000" w:themeColor="text1"/>
                <w14:textFill>
                  <w14:solidFill>
                    <w14:schemeClr w14:val="tx1"/>
                  </w14:solidFill>
                </w14:textFill>
              </w:rPr>
            </w:pPr>
            <w:r>
              <w:rPr>
                <w:snapToGrid w:val="0"/>
                <w:color w:val="000000" w:themeColor="text1"/>
                <w:spacing w:val="-2"/>
                <w14:textFill>
                  <w14:solidFill>
                    <w14:schemeClr w14:val="tx1"/>
                  </w14:solidFill>
                </w14:textFill>
              </w:rPr>
              <w:t>澧江社区、玉河社区、</w:t>
            </w:r>
          </w:p>
          <w:p w14:paraId="658A954B">
            <w:pPr>
              <w:pStyle w:val="25"/>
              <w:spacing w:before="16" w:line="220" w:lineRule="auto"/>
              <w:ind w:left="134"/>
              <w:rPr>
                <w:snapToGrid w:val="0"/>
                <w:color w:val="000000" w:themeColor="text1"/>
                <w14:textFill>
                  <w14:solidFill>
                    <w14:schemeClr w14:val="tx1"/>
                  </w14:solidFill>
                </w14:textFill>
              </w:rPr>
            </w:pPr>
            <w:r>
              <w:rPr>
                <w:snapToGrid w:val="0"/>
                <w:color w:val="000000" w:themeColor="text1"/>
                <w:spacing w:val="-3"/>
                <w14:textFill>
                  <w14:solidFill>
                    <w14:schemeClr w14:val="tx1"/>
                  </w14:solidFill>
                </w14:textFill>
              </w:rPr>
              <w:t>红侨社区、那整社区、</w:t>
            </w:r>
          </w:p>
          <w:p w14:paraId="2634F28A">
            <w:pPr>
              <w:pStyle w:val="25"/>
              <w:spacing w:before="18" w:line="219" w:lineRule="auto"/>
              <w:ind w:left="130"/>
              <w:rPr>
                <w:snapToGrid w:val="0"/>
                <w:color w:val="000000" w:themeColor="text1"/>
                <w14:textFill>
                  <w14:solidFill>
                    <w14:schemeClr w14:val="tx1"/>
                  </w14:solidFill>
                </w14:textFill>
              </w:rPr>
            </w:pPr>
            <w:r>
              <w:rPr>
                <w:snapToGrid w:val="0"/>
                <w:color w:val="000000" w:themeColor="text1"/>
                <w:spacing w:val="-2"/>
                <w14:textFill>
                  <w14:solidFill>
                    <w14:schemeClr w14:val="tx1"/>
                  </w14:solidFill>
                </w14:textFill>
              </w:rPr>
              <w:t>龙潭社区、南昏村委会</w:t>
            </w:r>
          </w:p>
          <w:p w14:paraId="2F559111">
            <w:pPr>
              <w:pStyle w:val="25"/>
              <w:spacing w:before="17" w:line="219" w:lineRule="auto"/>
              <w:ind w:left="144"/>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、南洒村委会、莫郎村</w:t>
            </w:r>
          </w:p>
          <w:p w14:paraId="111C4D8D">
            <w:pPr>
              <w:pStyle w:val="25"/>
              <w:spacing w:before="26" w:line="212" w:lineRule="auto"/>
              <w:ind w:left="1004"/>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委会</w:t>
            </w:r>
          </w:p>
        </w:tc>
        <w:tc>
          <w:tcPr>
            <w:tcW w:w="918" w:type="dxa"/>
            <w:vAlign w:val="center"/>
          </w:tcPr>
          <w:p w14:paraId="6FC84526">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195</w:t>
            </w:r>
          </w:p>
        </w:tc>
        <w:tc>
          <w:tcPr>
            <w:tcW w:w="1112" w:type="dxa"/>
            <w:vAlign w:val="center"/>
          </w:tcPr>
          <w:p w14:paraId="750E8A79">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180</w:t>
            </w:r>
          </w:p>
        </w:tc>
        <w:tc>
          <w:tcPr>
            <w:tcW w:w="811" w:type="dxa"/>
            <w:vAlign w:val="center"/>
          </w:tcPr>
          <w:p w14:paraId="5191AC4B">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15</w:t>
            </w:r>
          </w:p>
        </w:tc>
        <w:tc>
          <w:tcPr>
            <w:tcW w:w="1197" w:type="dxa"/>
            <w:vAlign w:val="center"/>
          </w:tcPr>
          <w:p w14:paraId="6299E3A9">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50</w:t>
            </w:r>
          </w:p>
        </w:tc>
        <w:tc>
          <w:tcPr>
            <w:tcW w:w="5290" w:type="dxa"/>
            <w:vMerge w:val="continue"/>
            <w:tcBorders>
              <w:top w:val="nil"/>
              <w:bottom w:val="nil"/>
            </w:tcBorders>
            <w:vAlign w:val="top"/>
          </w:tcPr>
          <w:p w14:paraId="21917428">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3CEB2095">
            <w:pPr>
              <w:rPr>
                <w:rFonts w:ascii="Arial"/>
                <w:snapToGrid w:val="0"/>
                <w:color w:val="000000" w:themeColor="text1"/>
                <w:sz w:val="21"/>
                <w14:textFill>
                  <w14:solidFill>
                    <w14:schemeClr w14:val="tx1"/>
                  </w14:solidFill>
                </w14:textFill>
              </w:rPr>
            </w:pPr>
          </w:p>
        </w:tc>
        <w:tc>
          <w:tcPr>
            <w:tcW w:w="373" w:type="dxa"/>
            <w:vAlign w:val="top"/>
          </w:tcPr>
          <w:p w14:paraId="0C4F44AF">
            <w:pPr>
              <w:rPr>
                <w:rFonts w:ascii="Arial"/>
                <w:snapToGrid w:val="0"/>
                <w:color w:val="000000" w:themeColor="text1"/>
                <w:sz w:val="21"/>
                <w14:textFill>
                  <w14:solidFill>
                    <w14:schemeClr w14:val="tx1"/>
                  </w14:solidFill>
                </w14:textFill>
              </w:rPr>
            </w:pPr>
          </w:p>
        </w:tc>
      </w:tr>
      <w:tr w14:paraId="2A0CA0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02" w:type="dxa"/>
            <w:vMerge w:val="continue"/>
            <w:tcBorders>
              <w:top w:val="nil"/>
              <w:bottom w:val="nil"/>
            </w:tcBorders>
            <w:textDirection w:val="tbRlV"/>
            <w:vAlign w:val="top"/>
          </w:tcPr>
          <w:p w14:paraId="75A009AF">
            <w:pPr>
              <w:rPr>
                <w:rFonts w:ascii="Arial"/>
                <w:snapToGrid w:val="0"/>
                <w:color w:val="000000" w:themeColor="text1"/>
                <w:sz w:val="21"/>
                <w14:textFill>
                  <w14:solidFill>
                    <w14:schemeClr w14:val="tx1"/>
                  </w14:solidFill>
                </w14:textFill>
              </w:rPr>
            </w:pPr>
          </w:p>
        </w:tc>
        <w:tc>
          <w:tcPr>
            <w:tcW w:w="1007" w:type="dxa"/>
            <w:vAlign w:val="top"/>
          </w:tcPr>
          <w:p w14:paraId="1DE3536D">
            <w:pPr>
              <w:pStyle w:val="25"/>
              <w:spacing w:before="51" w:line="220" w:lineRule="auto"/>
              <w:ind w:left="187"/>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澧江街</w:t>
            </w:r>
          </w:p>
          <w:p w14:paraId="5D90D6F0">
            <w:pPr>
              <w:pStyle w:val="25"/>
              <w:spacing w:line="210" w:lineRule="auto"/>
              <w:ind w:left="290"/>
              <w:rPr>
                <w:snapToGrid w:val="0"/>
                <w:color w:val="000000" w:themeColor="text1"/>
                <w14:textFill>
                  <w14:solidFill>
                    <w14:schemeClr w14:val="tx1"/>
                  </w14:solidFill>
                </w14:textFill>
              </w:rPr>
            </w:pPr>
            <w:r>
              <w:rPr>
                <w:snapToGrid w:val="0"/>
                <w:color w:val="000000" w:themeColor="text1"/>
                <w:spacing w:val="-3"/>
                <w14:textFill>
                  <w14:solidFill>
                    <w14:schemeClr w14:val="tx1"/>
                  </w14:solidFill>
                </w14:textFill>
              </w:rPr>
              <w:t>道-2</w:t>
            </w:r>
          </w:p>
        </w:tc>
        <w:tc>
          <w:tcPr>
            <w:tcW w:w="2433" w:type="dxa"/>
            <w:vAlign w:val="top"/>
          </w:tcPr>
          <w:p w14:paraId="5F831DD5">
            <w:pPr>
              <w:pStyle w:val="25"/>
              <w:spacing w:before="191" w:line="220" w:lineRule="auto"/>
              <w:ind w:left="787"/>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江东社区</w:t>
            </w:r>
          </w:p>
        </w:tc>
        <w:tc>
          <w:tcPr>
            <w:tcW w:w="918" w:type="dxa"/>
            <w:vAlign w:val="center"/>
          </w:tcPr>
          <w:p w14:paraId="47A8BD86">
            <w:pPr>
              <w:keepNext w:val="0"/>
              <w:keepLines w:val="0"/>
              <w:widowControl/>
              <w:suppressLineNumbers w:val="0"/>
              <w:jc w:val="center"/>
              <w:textAlignment w:val="center"/>
              <w:rPr>
                <w:rFonts w:hint="default"/>
                <w:snapToGrid w:val="0"/>
                <w:color w:val="000000" w:themeColor="text1"/>
                <w:lang w:val="en-US"/>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38</w:t>
            </w:r>
          </w:p>
        </w:tc>
        <w:tc>
          <w:tcPr>
            <w:tcW w:w="1112" w:type="dxa"/>
            <w:vAlign w:val="center"/>
          </w:tcPr>
          <w:p w14:paraId="23D62B1C">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38</w:t>
            </w:r>
          </w:p>
        </w:tc>
        <w:tc>
          <w:tcPr>
            <w:tcW w:w="811" w:type="dxa"/>
            <w:vAlign w:val="center"/>
          </w:tcPr>
          <w:p w14:paraId="4C8AD868">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0</w:t>
            </w:r>
          </w:p>
        </w:tc>
        <w:tc>
          <w:tcPr>
            <w:tcW w:w="1197" w:type="dxa"/>
            <w:vAlign w:val="center"/>
          </w:tcPr>
          <w:p w14:paraId="4A3144F6">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50</w:t>
            </w:r>
          </w:p>
        </w:tc>
        <w:tc>
          <w:tcPr>
            <w:tcW w:w="5290" w:type="dxa"/>
            <w:vMerge w:val="continue"/>
            <w:tcBorders>
              <w:top w:val="nil"/>
              <w:bottom w:val="nil"/>
            </w:tcBorders>
            <w:vAlign w:val="top"/>
          </w:tcPr>
          <w:p w14:paraId="447A2C04">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70B87CFB">
            <w:pPr>
              <w:rPr>
                <w:rFonts w:ascii="Arial"/>
                <w:snapToGrid w:val="0"/>
                <w:color w:val="000000" w:themeColor="text1"/>
                <w:sz w:val="21"/>
                <w14:textFill>
                  <w14:solidFill>
                    <w14:schemeClr w14:val="tx1"/>
                  </w14:solidFill>
                </w14:textFill>
              </w:rPr>
            </w:pPr>
          </w:p>
        </w:tc>
        <w:tc>
          <w:tcPr>
            <w:tcW w:w="373" w:type="dxa"/>
            <w:vAlign w:val="top"/>
          </w:tcPr>
          <w:p w14:paraId="1EB4DA82">
            <w:pPr>
              <w:rPr>
                <w:rFonts w:ascii="Arial"/>
                <w:snapToGrid w:val="0"/>
                <w:color w:val="000000" w:themeColor="text1"/>
                <w:sz w:val="21"/>
                <w14:textFill>
                  <w14:solidFill>
                    <w14:schemeClr w14:val="tx1"/>
                  </w14:solidFill>
                </w14:textFill>
              </w:rPr>
            </w:pPr>
          </w:p>
        </w:tc>
      </w:tr>
      <w:tr w14:paraId="36BFE9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602" w:type="dxa"/>
            <w:vMerge w:val="continue"/>
            <w:tcBorders>
              <w:top w:val="nil"/>
              <w:bottom w:val="nil"/>
            </w:tcBorders>
            <w:textDirection w:val="tbRlV"/>
            <w:vAlign w:val="top"/>
          </w:tcPr>
          <w:p w14:paraId="61463D94">
            <w:pPr>
              <w:rPr>
                <w:rFonts w:ascii="Arial"/>
                <w:snapToGrid w:val="0"/>
                <w:color w:val="000000" w:themeColor="text1"/>
                <w:sz w:val="21"/>
                <w14:textFill>
                  <w14:solidFill>
                    <w14:schemeClr w14:val="tx1"/>
                  </w14:solidFill>
                </w14:textFill>
              </w:rPr>
            </w:pPr>
          </w:p>
        </w:tc>
        <w:tc>
          <w:tcPr>
            <w:tcW w:w="1007" w:type="dxa"/>
            <w:vAlign w:val="top"/>
          </w:tcPr>
          <w:p w14:paraId="70609FE1">
            <w:pPr>
              <w:pStyle w:val="25"/>
              <w:spacing w:before="51" w:line="220" w:lineRule="auto"/>
              <w:ind w:left="179"/>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甘庄街</w:t>
            </w:r>
          </w:p>
          <w:p w14:paraId="1E707AAB">
            <w:pPr>
              <w:pStyle w:val="25"/>
              <w:spacing w:before="1" w:line="209" w:lineRule="auto"/>
              <w:ind w:left="400"/>
              <w:rPr>
                <w:snapToGrid w:val="0"/>
                <w:color w:val="000000" w:themeColor="text1"/>
                <w14:textFill>
                  <w14:solidFill>
                    <w14:schemeClr w14:val="tx1"/>
                  </w14:solidFill>
                </w14:textFill>
              </w:rPr>
            </w:pPr>
            <w:r>
              <w:rPr>
                <w:snapToGrid w:val="0"/>
                <w:color w:val="000000" w:themeColor="text1"/>
                <w14:textFill>
                  <w14:solidFill>
                    <w14:schemeClr w14:val="tx1"/>
                  </w14:solidFill>
                </w14:textFill>
              </w:rPr>
              <w:t>道</w:t>
            </w:r>
          </w:p>
        </w:tc>
        <w:tc>
          <w:tcPr>
            <w:tcW w:w="2433" w:type="dxa"/>
            <w:vAlign w:val="top"/>
          </w:tcPr>
          <w:p w14:paraId="2440F058">
            <w:pPr>
              <w:pStyle w:val="25"/>
              <w:spacing w:before="192" w:line="220" w:lineRule="auto"/>
              <w:ind w:left="783"/>
              <w:rPr>
                <w:snapToGrid w:val="0"/>
                <w:color w:val="000000" w:themeColor="text1"/>
                <w14:textFill>
                  <w14:solidFill>
                    <w14:schemeClr w14:val="tx1"/>
                  </w14:solidFill>
                </w14:textFill>
              </w:rPr>
            </w:pPr>
            <w:r>
              <w:rPr>
                <w:snapToGrid w:val="0"/>
                <w:color w:val="000000" w:themeColor="text1"/>
                <w:spacing w:val="-3"/>
                <w14:textFill>
                  <w14:solidFill>
                    <w14:schemeClr w14:val="tx1"/>
                  </w14:solidFill>
                </w14:textFill>
              </w:rPr>
              <w:t>甘庄街道</w:t>
            </w:r>
          </w:p>
        </w:tc>
        <w:tc>
          <w:tcPr>
            <w:tcW w:w="918" w:type="dxa"/>
            <w:vAlign w:val="center"/>
          </w:tcPr>
          <w:p w14:paraId="01782A05">
            <w:pPr>
              <w:keepNext w:val="0"/>
              <w:keepLines w:val="0"/>
              <w:widowControl/>
              <w:suppressLineNumbers w:val="0"/>
              <w:jc w:val="center"/>
              <w:textAlignment w:val="center"/>
              <w:rPr>
                <w:rFonts w:hint="default"/>
                <w:snapToGrid w:val="0"/>
                <w:color w:val="000000" w:themeColor="text1"/>
                <w:lang w:val="en-US"/>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136</w:t>
            </w:r>
          </w:p>
        </w:tc>
        <w:tc>
          <w:tcPr>
            <w:tcW w:w="1112" w:type="dxa"/>
            <w:vAlign w:val="center"/>
          </w:tcPr>
          <w:p w14:paraId="408412CF">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136</w:t>
            </w:r>
          </w:p>
        </w:tc>
        <w:tc>
          <w:tcPr>
            <w:tcW w:w="811" w:type="dxa"/>
            <w:vAlign w:val="center"/>
          </w:tcPr>
          <w:p w14:paraId="62A02AF4">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0</w:t>
            </w:r>
          </w:p>
        </w:tc>
        <w:tc>
          <w:tcPr>
            <w:tcW w:w="1197" w:type="dxa"/>
            <w:vAlign w:val="center"/>
          </w:tcPr>
          <w:p w14:paraId="3C9960DB">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3DE1A08E">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44450B18">
            <w:pPr>
              <w:rPr>
                <w:rFonts w:ascii="Arial"/>
                <w:snapToGrid w:val="0"/>
                <w:color w:val="000000" w:themeColor="text1"/>
                <w:sz w:val="21"/>
                <w14:textFill>
                  <w14:solidFill>
                    <w14:schemeClr w14:val="tx1"/>
                  </w14:solidFill>
                </w14:textFill>
              </w:rPr>
            </w:pPr>
          </w:p>
        </w:tc>
        <w:tc>
          <w:tcPr>
            <w:tcW w:w="373" w:type="dxa"/>
            <w:vAlign w:val="top"/>
          </w:tcPr>
          <w:p w14:paraId="6441DF35">
            <w:pPr>
              <w:rPr>
                <w:rFonts w:ascii="Arial"/>
                <w:snapToGrid w:val="0"/>
                <w:color w:val="000000" w:themeColor="text1"/>
                <w:sz w:val="21"/>
                <w14:textFill>
                  <w14:solidFill>
                    <w14:schemeClr w14:val="tx1"/>
                  </w14:solidFill>
                </w14:textFill>
              </w:rPr>
            </w:pPr>
          </w:p>
        </w:tc>
      </w:tr>
      <w:tr w14:paraId="49A0E3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602" w:type="dxa"/>
            <w:vMerge w:val="continue"/>
            <w:tcBorders>
              <w:top w:val="nil"/>
              <w:bottom w:val="nil"/>
            </w:tcBorders>
            <w:textDirection w:val="tbRlV"/>
            <w:vAlign w:val="top"/>
          </w:tcPr>
          <w:p w14:paraId="2D7C801E">
            <w:pPr>
              <w:rPr>
                <w:rFonts w:ascii="Arial"/>
                <w:snapToGrid w:val="0"/>
                <w:color w:val="000000" w:themeColor="text1"/>
                <w:sz w:val="21"/>
                <w14:textFill>
                  <w14:solidFill>
                    <w14:schemeClr w14:val="tx1"/>
                  </w14:solidFill>
                </w14:textFill>
              </w:rPr>
            </w:pPr>
          </w:p>
        </w:tc>
        <w:tc>
          <w:tcPr>
            <w:tcW w:w="1007" w:type="dxa"/>
            <w:vAlign w:val="top"/>
          </w:tcPr>
          <w:p w14:paraId="07806524">
            <w:pPr>
              <w:pStyle w:val="25"/>
              <w:spacing w:before="86" w:line="220" w:lineRule="auto"/>
              <w:ind w:left="189"/>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曼来镇</w:t>
            </w:r>
          </w:p>
        </w:tc>
        <w:tc>
          <w:tcPr>
            <w:tcW w:w="2433" w:type="dxa"/>
            <w:vAlign w:val="top"/>
          </w:tcPr>
          <w:p w14:paraId="538DD225">
            <w:pPr>
              <w:pStyle w:val="25"/>
              <w:spacing w:before="86" w:line="220" w:lineRule="auto"/>
              <w:ind w:left="902"/>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曼来镇</w:t>
            </w:r>
          </w:p>
        </w:tc>
        <w:tc>
          <w:tcPr>
            <w:tcW w:w="918" w:type="dxa"/>
            <w:vAlign w:val="center"/>
          </w:tcPr>
          <w:p w14:paraId="7F724026">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88</w:t>
            </w:r>
          </w:p>
        </w:tc>
        <w:tc>
          <w:tcPr>
            <w:tcW w:w="1112" w:type="dxa"/>
            <w:vAlign w:val="center"/>
          </w:tcPr>
          <w:p w14:paraId="489450DA">
            <w:pPr>
              <w:keepNext w:val="0"/>
              <w:keepLines w:val="0"/>
              <w:widowControl/>
              <w:suppressLineNumbers w:val="0"/>
              <w:jc w:val="center"/>
              <w:textAlignment w:val="center"/>
              <w:rPr>
                <w:rFonts w:hint="default"/>
                <w:snapToGrid w:val="0"/>
                <w:color w:val="000000" w:themeColor="text1"/>
                <w:lang w:val="en-US"/>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88</w:t>
            </w:r>
          </w:p>
        </w:tc>
        <w:tc>
          <w:tcPr>
            <w:tcW w:w="811" w:type="dxa"/>
            <w:vAlign w:val="center"/>
          </w:tcPr>
          <w:p w14:paraId="4334C06E">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0</w:t>
            </w:r>
          </w:p>
        </w:tc>
        <w:tc>
          <w:tcPr>
            <w:tcW w:w="1197" w:type="dxa"/>
            <w:vAlign w:val="center"/>
          </w:tcPr>
          <w:p w14:paraId="6BB379A1">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3B14E424">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14C2B25D">
            <w:pPr>
              <w:rPr>
                <w:rFonts w:ascii="Arial"/>
                <w:snapToGrid w:val="0"/>
                <w:color w:val="000000" w:themeColor="text1"/>
                <w:sz w:val="21"/>
                <w14:textFill>
                  <w14:solidFill>
                    <w14:schemeClr w14:val="tx1"/>
                  </w14:solidFill>
                </w14:textFill>
              </w:rPr>
            </w:pPr>
          </w:p>
        </w:tc>
        <w:tc>
          <w:tcPr>
            <w:tcW w:w="373" w:type="dxa"/>
            <w:vAlign w:val="top"/>
          </w:tcPr>
          <w:p w14:paraId="77E4F227">
            <w:pPr>
              <w:rPr>
                <w:rFonts w:ascii="Arial"/>
                <w:snapToGrid w:val="0"/>
                <w:color w:val="000000" w:themeColor="text1"/>
                <w:sz w:val="21"/>
                <w14:textFill>
                  <w14:solidFill>
                    <w14:schemeClr w14:val="tx1"/>
                  </w14:solidFill>
                </w14:textFill>
              </w:rPr>
            </w:pPr>
          </w:p>
        </w:tc>
      </w:tr>
      <w:tr w14:paraId="36265D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602" w:type="dxa"/>
            <w:vMerge w:val="continue"/>
            <w:tcBorders>
              <w:top w:val="nil"/>
              <w:bottom w:val="nil"/>
            </w:tcBorders>
            <w:textDirection w:val="tbRlV"/>
            <w:vAlign w:val="top"/>
          </w:tcPr>
          <w:p w14:paraId="3F693BD3">
            <w:pPr>
              <w:rPr>
                <w:rFonts w:ascii="Arial"/>
                <w:snapToGrid w:val="0"/>
                <w:color w:val="000000" w:themeColor="text1"/>
                <w:sz w:val="21"/>
                <w14:textFill>
                  <w14:solidFill>
                    <w14:schemeClr w14:val="tx1"/>
                  </w14:solidFill>
                </w14:textFill>
              </w:rPr>
            </w:pPr>
          </w:p>
        </w:tc>
        <w:tc>
          <w:tcPr>
            <w:tcW w:w="1007" w:type="dxa"/>
            <w:vAlign w:val="top"/>
          </w:tcPr>
          <w:p w14:paraId="5090A830">
            <w:pPr>
              <w:pStyle w:val="25"/>
              <w:spacing w:before="112" w:line="220" w:lineRule="auto"/>
              <w:ind w:left="217"/>
              <w:rPr>
                <w:snapToGrid w:val="0"/>
                <w:color w:val="000000" w:themeColor="text1"/>
                <w14:textFill>
                  <w14:solidFill>
                    <w14:schemeClr w14:val="tx1"/>
                  </w14:solidFill>
                </w14:textFill>
              </w:rPr>
            </w:pPr>
            <w:r>
              <w:rPr>
                <w:snapToGrid w:val="0"/>
                <w:color w:val="000000" w:themeColor="text1"/>
                <w:spacing w:val="-12"/>
                <w14:textFill>
                  <w14:solidFill>
                    <w14:schemeClr w14:val="tx1"/>
                  </w14:solidFill>
                </w14:textFill>
              </w:rPr>
              <w:t>因远镇</w:t>
            </w:r>
          </w:p>
        </w:tc>
        <w:tc>
          <w:tcPr>
            <w:tcW w:w="2433" w:type="dxa"/>
            <w:vAlign w:val="top"/>
          </w:tcPr>
          <w:p w14:paraId="6CBCC792">
            <w:pPr>
              <w:pStyle w:val="25"/>
              <w:spacing w:before="112" w:line="220" w:lineRule="auto"/>
              <w:ind w:left="931"/>
              <w:rPr>
                <w:snapToGrid w:val="0"/>
                <w:color w:val="000000" w:themeColor="text1"/>
                <w14:textFill>
                  <w14:solidFill>
                    <w14:schemeClr w14:val="tx1"/>
                  </w14:solidFill>
                </w14:textFill>
              </w:rPr>
            </w:pPr>
            <w:r>
              <w:rPr>
                <w:snapToGrid w:val="0"/>
                <w:color w:val="000000" w:themeColor="text1"/>
                <w:spacing w:val="-12"/>
                <w14:textFill>
                  <w14:solidFill>
                    <w14:schemeClr w14:val="tx1"/>
                  </w14:solidFill>
                </w14:textFill>
              </w:rPr>
              <w:t>因远镇</w:t>
            </w:r>
          </w:p>
        </w:tc>
        <w:tc>
          <w:tcPr>
            <w:tcW w:w="918" w:type="dxa"/>
            <w:vAlign w:val="center"/>
          </w:tcPr>
          <w:p w14:paraId="234E6675">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114</w:t>
            </w:r>
          </w:p>
        </w:tc>
        <w:tc>
          <w:tcPr>
            <w:tcW w:w="1112" w:type="dxa"/>
            <w:vAlign w:val="center"/>
          </w:tcPr>
          <w:p w14:paraId="612A4438">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114</w:t>
            </w:r>
          </w:p>
        </w:tc>
        <w:tc>
          <w:tcPr>
            <w:tcW w:w="811" w:type="dxa"/>
            <w:vAlign w:val="center"/>
          </w:tcPr>
          <w:p w14:paraId="7D2CB372">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0</w:t>
            </w:r>
          </w:p>
        </w:tc>
        <w:tc>
          <w:tcPr>
            <w:tcW w:w="1197" w:type="dxa"/>
            <w:vAlign w:val="center"/>
          </w:tcPr>
          <w:p w14:paraId="39AD4B50">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704AC0FB">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4A3380DB">
            <w:pPr>
              <w:rPr>
                <w:rFonts w:ascii="Arial"/>
                <w:snapToGrid w:val="0"/>
                <w:color w:val="000000" w:themeColor="text1"/>
                <w:sz w:val="21"/>
                <w14:textFill>
                  <w14:solidFill>
                    <w14:schemeClr w14:val="tx1"/>
                  </w14:solidFill>
                </w14:textFill>
              </w:rPr>
            </w:pPr>
          </w:p>
        </w:tc>
        <w:tc>
          <w:tcPr>
            <w:tcW w:w="373" w:type="dxa"/>
            <w:vAlign w:val="top"/>
          </w:tcPr>
          <w:p w14:paraId="3DB23362">
            <w:pPr>
              <w:rPr>
                <w:rFonts w:ascii="Arial"/>
                <w:snapToGrid w:val="0"/>
                <w:color w:val="000000" w:themeColor="text1"/>
                <w:sz w:val="21"/>
                <w14:textFill>
                  <w14:solidFill>
                    <w14:schemeClr w14:val="tx1"/>
                  </w14:solidFill>
                </w14:textFill>
              </w:rPr>
            </w:pPr>
          </w:p>
        </w:tc>
      </w:tr>
      <w:tr w14:paraId="6DB7DE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02" w:type="dxa"/>
            <w:vMerge w:val="continue"/>
            <w:tcBorders>
              <w:top w:val="nil"/>
              <w:bottom w:val="nil"/>
            </w:tcBorders>
            <w:textDirection w:val="tbRlV"/>
            <w:vAlign w:val="top"/>
          </w:tcPr>
          <w:p w14:paraId="3A673FDF">
            <w:pPr>
              <w:rPr>
                <w:rFonts w:ascii="Arial"/>
                <w:snapToGrid w:val="0"/>
                <w:color w:val="000000" w:themeColor="text1"/>
                <w:sz w:val="21"/>
                <w14:textFill>
                  <w14:solidFill>
                    <w14:schemeClr w14:val="tx1"/>
                  </w14:solidFill>
                </w14:textFill>
              </w:rPr>
            </w:pPr>
          </w:p>
        </w:tc>
        <w:tc>
          <w:tcPr>
            <w:tcW w:w="1007" w:type="dxa"/>
            <w:vAlign w:val="top"/>
          </w:tcPr>
          <w:p w14:paraId="5558A85B">
            <w:pPr>
              <w:pStyle w:val="25"/>
              <w:spacing w:before="80" w:line="210" w:lineRule="auto"/>
              <w:ind w:left="203"/>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咪哩乡</w:t>
            </w:r>
          </w:p>
        </w:tc>
        <w:tc>
          <w:tcPr>
            <w:tcW w:w="2433" w:type="dxa"/>
            <w:vAlign w:val="top"/>
          </w:tcPr>
          <w:p w14:paraId="348B8D6F">
            <w:pPr>
              <w:pStyle w:val="25"/>
              <w:spacing w:before="80" w:line="210" w:lineRule="auto"/>
              <w:ind w:left="917"/>
              <w:rPr>
                <w:snapToGrid w:val="0"/>
                <w:color w:val="000000" w:themeColor="text1"/>
                <w14:textFill>
                  <w14:solidFill>
                    <w14:schemeClr w14:val="tx1"/>
                  </w14:solidFill>
                </w14:textFill>
              </w:rPr>
            </w:pPr>
            <w:r>
              <w:rPr>
                <w:snapToGrid w:val="0"/>
                <w:color w:val="000000" w:themeColor="text1"/>
                <w:spacing w:val="-9"/>
                <w14:textFill>
                  <w14:solidFill>
                    <w14:schemeClr w14:val="tx1"/>
                  </w14:solidFill>
                </w14:textFill>
              </w:rPr>
              <w:t>咪哩乡</w:t>
            </w:r>
          </w:p>
        </w:tc>
        <w:tc>
          <w:tcPr>
            <w:tcW w:w="918" w:type="dxa"/>
            <w:vAlign w:val="center"/>
          </w:tcPr>
          <w:p w14:paraId="5075A464">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48</w:t>
            </w:r>
          </w:p>
        </w:tc>
        <w:tc>
          <w:tcPr>
            <w:tcW w:w="1112" w:type="dxa"/>
            <w:vAlign w:val="center"/>
          </w:tcPr>
          <w:p w14:paraId="637D47A6">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46</w:t>
            </w:r>
          </w:p>
        </w:tc>
        <w:tc>
          <w:tcPr>
            <w:tcW w:w="811" w:type="dxa"/>
            <w:vAlign w:val="center"/>
          </w:tcPr>
          <w:p w14:paraId="6AA29308">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2</w:t>
            </w:r>
          </w:p>
        </w:tc>
        <w:tc>
          <w:tcPr>
            <w:tcW w:w="1197" w:type="dxa"/>
            <w:vAlign w:val="center"/>
          </w:tcPr>
          <w:p w14:paraId="5F891377">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5BDB3904">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3484DBBA">
            <w:pPr>
              <w:rPr>
                <w:rFonts w:ascii="Arial"/>
                <w:snapToGrid w:val="0"/>
                <w:color w:val="000000" w:themeColor="text1"/>
                <w:sz w:val="21"/>
                <w14:textFill>
                  <w14:solidFill>
                    <w14:schemeClr w14:val="tx1"/>
                  </w14:solidFill>
                </w14:textFill>
              </w:rPr>
            </w:pPr>
          </w:p>
        </w:tc>
        <w:tc>
          <w:tcPr>
            <w:tcW w:w="373" w:type="dxa"/>
            <w:vAlign w:val="top"/>
          </w:tcPr>
          <w:p w14:paraId="6A15DD6F">
            <w:pPr>
              <w:rPr>
                <w:rFonts w:ascii="Arial"/>
                <w:snapToGrid w:val="0"/>
                <w:color w:val="000000" w:themeColor="text1"/>
                <w:sz w:val="21"/>
                <w14:textFill>
                  <w14:solidFill>
                    <w14:schemeClr w14:val="tx1"/>
                  </w14:solidFill>
                </w14:textFill>
              </w:rPr>
            </w:pPr>
          </w:p>
        </w:tc>
      </w:tr>
      <w:tr w14:paraId="065E8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02" w:type="dxa"/>
            <w:vMerge w:val="continue"/>
            <w:tcBorders>
              <w:top w:val="nil"/>
              <w:bottom w:val="nil"/>
            </w:tcBorders>
            <w:textDirection w:val="tbRlV"/>
            <w:vAlign w:val="top"/>
          </w:tcPr>
          <w:p w14:paraId="16666B8F">
            <w:pPr>
              <w:rPr>
                <w:rFonts w:ascii="Arial"/>
                <w:snapToGrid w:val="0"/>
                <w:color w:val="000000" w:themeColor="text1"/>
                <w:sz w:val="21"/>
                <w14:textFill>
                  <w14:solidFill>
                    <w14:schemeClr w14:val="tx1"/>
                  </w14:solidFill>
                </w14:textFill>
              </w:rPr>
            </w:pPr>
          </w:p>
        </w:tc>
        <w:tc>
          <w:tcPr>
            <w:tcW w:w="1007" w:type="dxa"/>
            <w:vAlign w:val="top"/>
          </w:tcPr>
          <w:p w14:paraId="0BE3A37C">
            <w:pPr>
              <w:pStyle w:val="25"/>
              <w:spacing w:before="79" w:line="211" w:lineRule="auto"/>
              <w:ind w:left="183"/>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那诺乡</w:t>
            </w:r>
          </w:p>
        </w:tc>
        <w:tc>
          <w:tcPr>
            <w:tcW w:w="2433" w:type="dxa"/>
            <w:vAlign w:val="top"/>
          </w:tcPr>
          <w:p w14:paraId="151B2337">
            <w:pPr>
              <w:pStyle w:val="25"/>
              <w:spacing w:before="79" w:line="211" w:lineRule="auto"/>
              <w:ind w:left="897"/>
              <w:rPr>
                <w:snapToGrid w:val="0"/>
                <w:color w:val="000000" w:themeColor="text1"/>
                <w14:textFill>
                  <w14:solidFill>
                    <w14:schemeClr w14:val="tx1"/>
                  </w14:solidFill>
                </w14:textFill>
              </w:rPr>
            </w:pPr>
            <w:r>
              <w:rPr>
                <w:snapToGrid w:val="0"/>
                <w:color w:val="000000" w:themeColor="text1"/>
                <w:spacing w:val="-4"/>
                <w14:textFill>
                  <w14:solidFill>
                    <w14:schemeClr w14:val="tx1"/>
                  </w14:solidFill>
                </w14:textFill>
              </w:rPr>
              <w:t>那诺乡</w:t>
            </w:r>
          </w:p>
        </w:tc>
        <w:tc>
          <w:tcPr>
            <w:tcW w:w="918" w:type="dxa"/>
            <w:vAlign w:val="center"/>
          </w:tcPr>
          <w:p w14:paraId="2A4A6E37">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39</w:t>
            </w:r>
          </w:p>
        </w:tc>
        <w:tc>
          <w:tcPr>
            <w:tcW w:w="1112" w:type="dxa"/>
            <w:vAlign w:val="center"/>
          </w:tcPr>
          <w:p w14:paraId="57F98B1A">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38</w:t>
            </w:r>
          </w:p>
        </w:tc>
        <w:tc>
          <w:tcPr>
            <w:tcW w:w="811" w:type="dxa"/>
            <w:vAlign w:val="center"/>
          </w:tcPr>
          <w:p w14:paraId="08A023DF">
            <w:pPr>
              <w:keepNext w:val="0"/>
              <w:keepLines w:val="0"/>
              <w:widowControl/>
              <w:suppressLineNumbers w:val="0"/>
              <w:jc w:val="center"/>
              <w:textAlignment w:val="center"/>
              <w:rPr>
                <w:rFonts w:hint="eastAsia" w:eastAsia="宋体"/>
                <w:snapToGrid w:val="0"/>
                <w:color w:val="000000" w:themeColor="text1"/>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w:t>
            </w:r>
          </w:p>
        </w:tc>
        <w:tc>
          <w:tcPr>
            <w:tcW w:w="1197" w:type="dxa"/>
            <w:vAlign w:val="center"/>
          </w:tcPr>
          <w:p w14:paraId="14B50AB8">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324B9C00">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4B2AFCA8">
            <w:pPr>
              <w:rPr>
                <w:rFonts w:ascii="Arial"/>
                <w:snapToGrid w:val="0"/>
                <w:color w:val="000000" w:themeColor="text1"/>
                <w:sz w:val="21"/>
                <w14:textFill>
                  <w14:solidFill>
                    <w14:schemeClr w14:val="tx1"/>
                  </w14:solidFill>
                </w14:textFill>
              </w:rPr>
            </w:pPr>
          </w:p>
        </w:tc>
        <w:tc>
          <w:tcPr>
            <w:tcW w:w="373" w:type="dxa"/>
            <w:vAlign w:val="top"/>
          </w:tcPr>
          <w:p w14:paraId="2BC9C3E7">
            <w:pPr>
              <w:rPr>
                <w:rFonts w:ascii="Arial"/>
                <w:snapToGrid w:val="0"/>
                <w:color w:val="000000" w:themeColor="text1"/>
                <w:sz w:val="21"/>
                <w14:textFill>
                  <w14:solidFill>
                    <w14:schemeClr w14:val="tx1"/>
                  </w14:solidFill>
                </w14:textFill>
              </w:rPr>
            </w:pPr>
          </w:p>
        </w:tc>
      </w:tr>
      <w:tr w14:paraId="6E8C5F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02" w:type="dxa"/>
            <w:vMerge w:val="continue"/>
            <w:tcBorders>
              <w:top w:val="nil"/>
              <w:bottom w:val="nil"/>
            </w:tcBorders>
            <w:textDirection w:val="tbRlV"/>
            <w:vAlign w:val="top"/>
          </w:tcPr>
          <w:p w14:paraId="2049862B">
            <w:pPr>
              <w:rPr>
                <w:rFonts w:ascii="Arial"/>
                <w:snapToGrid w:val="0"/>
                <w:color w:val="000000" w:themeColor="text1"/>
                <w:sz w:val="21"/>
                <w14:textFill>
                  <w14:solidFill>
                    <w14:schemeClr w14:val="tx1"/>
                  </w14:solidFill>
                </w14:textFill>
              </w:rPr>
            </w:pPr>
          </w:p>
        </w:tc>
        <w:tc>
          <w:tcPr>
            <w:tcW w:w="1007" w:type="dxa"/>
            <w:vAlign w:val="top"/>
          </w:tcPr>
          <w:p w14:paraId="03F8E467">
            <w:pPr>
              <w:pStyle w:val="25"/>
              <w:spacing w:before="77" w:line="213" w:lineRule="auto"/>
              <w:ind w:left="197"/>
              <w:rPr>
                <w:snapToGrid w:val="0"/>
                <w:color w:val="000000" w:themeColor="text1"/>
                <w14:textFill>
                  <w14:solidFill>
                    <w14:schemeClr w14:val="tx1"/>
                  </w14:solidFill>
                </w14:textFill>
              </w:rPr>
            </w:pPr>
            <w:r>
              <w:rPr>
                <w:snapToGrid w:val="0"/>
                <w:color w:val="000000" w:themeColor="text1"/>
                <w:spacing w:val="-7"/>
                <w14:textFill>
                  <w14:solidFill>
                    <w14:schemeClr w14:val="tx1"/>
                  </w14:solidFill>
                </w14:textFill>
              </w:rPr>
              <w:t>羊街乡</w:t>
            </w:r>
          </w:p>
        </w:tc>
        <w:tc>
          <w:tcPr>
            <w:tcW w:w="2433" w:type="dxa"/>
            <w:vAlign w:val="top"/>
          </w:tcPr>
          <w:p w14:paraId="2FA82282">
            <w:pPr>
              <w:pStyle w:val="25"/>
              <w:spacing w:before="77" w:line="213" w:lineRule="auto"/>
              <w:ind w:left="911"/>
              <w:rPr>
                <w:snapToGrid w:val="0"/>
                <w:color w:val="000000" w:themeColor="text1"/>
                <w14:textFill>
                  <w14:solidFill>
                    <w14:schemeClr w14:val="tx1"/>
                  </w14:solidFill>
                </w14:textFill>
              </w:rPr>
            </w:pPr>
            <w:r>
              <w:rPr>
                <w:snapToGrid w:val="0"/>
                <w:color w:val="000000" w:themeColor="text1"/>
                <w:spacing w:val="-7"/>
                <w14:textFill>
                  <w14:solidFill>
                    <w14:schemeClr w14:val="tx1"/>
                  </w14:solidFill>
                </w14:textFill>
              </w:rPr>
              <w:t>羊街乡</w:t>
            </w:r>
          </w:p>
        </w:tc>
        <w:tc>
          <w:tcPr>
            <w:tcW w:w="918" w:type="dxa"/>
            <w:vAlign w:val="center"/>
          </w:tcPr>
          <w:p w14:paraId="6527A0BA">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53</w:t>
            </w:r>
          </w:p>
        </w:tc>
        <w:tc>
          <w:tcPr>
            <w:tcW w:w="1112" w:type="dxa"/>
            <w:vAlign w:val="center"/>
          </w:tcPr>
          <w:p w14:paraId="16D2AA2A">
            <w:pPr>
              <w:keepNext w:val="0"/>
              <w:keepLines w:val="0"/>
              <w:widowControl/>
              <w:suppressLineNumbers w:val="0"/>
              <w:jc w:val="center"/>
              <w:textAlignment w:val="center"/>
              <w:rPr>
                <w:rFonts w:hint="default" w:eastAsia="宋体"/>
                <w:snapToGrid w:val="0"/>
                <w:color w:val="000000" w:themeColor="text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52</w:t>
            </w:r>
          </w:p>
        </w:tc>
        <w:tc>
          <w:tcPr>
            <w:tcW w:w="811" w:type="dxa"/>
            <w:vAlign w:val="center"/>
          </w:tcPr>
          <w:p w14:paraId="486F300C">
            <w:pPr>
              <w:keepNext w:val="0"/>
              <w:keepLines w:val="0"/>
              <w:widowControl/>
              <w:suppressLineNumbers w:val="0"/>
              <w:jc w:val="center"/>
              <w:textAlignment w:val="center"/>
              <w:rPr>
                <w:rFonts w:hint="eastAsia" w:eastAsia="宋体"/>
                <w:snapToGrid w:val="0"/>
                <w:color w:val="000000" w:themeColor="text1"/>
                <w:lang w:eastAsia="zh-CN"/>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w:t>
            </w:r>
          </w:p>
        </w:tc>
        <w:tc>
          <w:tcPr>
            <w:tcW w:w="1197" w:type="dxa"/>
            <w:vAlign w:val="center"/>
          </w:tcPr>
          <w:p w14:paraId="0F6863C7">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7970B194">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508A47A2">
            <w:pPr>
              <w:rPr>
                <w:rFonts w:ascii="Arial"/>
                <w:snapToGrid w:val="0"/>
                <w:color w:val="000000" w:themeColor="text1"/>
                <w:sz w:val="21"/>
                <w14:textFill>
                  <w14:solidFill>
                    <w14:schemeClr w14:val="tx1"/>
                  </w14:solidFill>
                </w14:textFill>
              </w:rPr>
            </w:pPr>
          </w:p>
        </w:tc>
        <w:tc>
          <w:tcPr>
            <w:tcW w:w="373" w:type="dxa"/>
            <w:vAlign w:val="top"/>
          </w:tcPr>
          <w:p w14:paraId="13FA203E">
            <w:pPr>
              <w:rPr>
                <w:rFonts w:ascii="Arial"/>
                <w:snapToGrid w:val="0"/>
                <w:color w:val="000000" w:themeColor="text1"/>
                <w:sz w:val="21"/>
                <w14:textFill>
                  <w14:solidFill>
                    <w14:schemeClr w14:val="tx1"/>
                  </w14:solidFill>
                </w14:textFill>
              </w:rPr>
            </w:pPr>
          </w:p>
        </w:tc>
      </w:tr>
      <w:tr w14:paraId="0C248C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1" w:hRule="atLeast"/>
        </w:trPr>
        <w:tc>
          <w:tcPr>
            <w:tcW w:w="602" w:type="dxa"/>
            <w:vMerge w:val="continue"/>
            <w:tcBorders>
              <w:top w:val="nil"/>
              <w:bottom w:val="nil"/>
            </w:tcBorders>
            <w:textDirection w:val="tbRlV"/>
            <w:vAlign w:val="top"/>
          </w:tcPr>
          <w:p w14:paraId="1E19FEC3">
            <w:pPr>
              <w:rPr>
                <w:rFonts w:ascii="Arial"/>
                <w:snapToGrid w:val="0"/>
                <w:color w:val="000000" w:themeColor="text1"/>
                <w:sz w:val="21"/>
                <w14:textFill>
                  <w14:solidFill>
                    <w14:schemeClr w14:val="tx1"/>
                  </w14:solidFill>
                </w14:textFill>
              </w:rPr>
            </w:pPr>
          </w:p>
        </w:tc>
        <w:tc>
          <w:tcPr>
            <w:tcW w:w="1007" w:type="dxa"/>
            <w:vAlign w:val="top"/>
          </w:tcPr>
          <w:p w14:paraId="2C699745">
            <w:pPr>
              <w:pStyle w:val="25"/>
              <w:spacing w:before="79" w:line="211" w:lineRule="auto"/>
              <w:ind w:left="189"/>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洼垤乡</w:t>
            </w:r>
          </w:p>
        </w:tc>
        <w:tc>
          <w:tcPr>
            <w:tcW w:w="2433" w:type="dxa"/>
            <w:vAlign w:val="top"/>
          </w:tcPr>
          <w:p w14:paraId="1CE5B483">
            <w:pPr>
              <w:pStyle w:val="25"/>
              <w:spacing w:before="79" w:line="211" w:lineRule="auto"/>
              <w:ind w:left="902"/>
              <w:rPr>
                <w:snapToGrid w:val="0"/>
                <w:color w:val="000000" w:themeColor="text1"/>
                <w14:textFill>
                  <w14:solidFill>
                    <w14:schemeClr w14:val="tx1"/>
                  </w14:solidFill>
                </w14:textFill>
              </w:rPr>
            </w:pPr>
            <w:r>
              <w:rPr>
                <w:snapToGrid w:val="0"/>
                <w:color w:val="000000" w:themeColor="text1"/>
                <w:spacing w:val="-6"/>
                <w14:textFill>
                  <w14:solidFill>
                    <w14:schemeClr w14:val="tx1"/>
                  </w14:solidFill>
                </w14:textFill>
              </w:rPr>
              <w:t>洼垤乡</w:t>
            </w:r>
          </w:p>
        </w:tc>
        <w:tc>
          <w:tcPr>
            <w:tcW w:w="918" w:type="dxa"/>
            <w:vAlign w:val="center"/>
          </w:tcPr>
          <w:p w14:paraId="53163D62">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24</w:t>
            </w:r>
          </w:p>
        </w:tc>
        <w:tc>
          <w:tcPr>
            <w:tcW w:w="1112" w:type="dxa"/>
            <w:vAlign w:val="center"/>
          </w:tcPr>
          <w:p w14:paraId="3A0AEB9F">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23</w:t>
            </w:r>
          </w:p>
        </w:tc>
        <w:tc>
          <w:tcPr>
            <w:tcW w:w="811" w:type="dxa"/>
            <w:vAlign w:val="center"/>
          </w:tcPr>
          <w:p w14:paraId="71AC1A38">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w:t>
            </w:r>
          </w:p>
        </w:tc>
        <w:tc>
          <w:tcPr>
            <w:tcW w:w="1197" w:type="dxa"/>
            <w:vAlign w:val="center"/>
          </w:tcPr>
          <w:p w14:paraId="4CB1957A">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bottom w:val="nil"/>
            </w:tcBorders>
            <w:vAlign w:val="top"/>
          </w:tcPr>
          <w:p w14:paraId="2CD864A1">
            <w:pPr>
              <w:rPr>
                <w:rFonts w:ascii="Arial"/>
                <w:snapToGrid w:val="0"/>
                <w:color w:val="000000" w:themeColor="text1"/>
                <w:sz w:val="21"/>
                <w14:textFill>
                  <w14:solidFill>
                    <w14:schemeClr w14:val="tx1"/>
                  </w14:solidFill>
                </w14:textFill>
              </w:rPr>
            </w:pPr>
          </w:p>
        </w:tc>
        <w:tc>
          <w:tcPr>
            <w:tcW w:w="1516" w:type="dxa"/>
            <w:vMerge w:val="continue"/>
            <w:tcBorders>
              <w:top w:val="nil"/>
              <w:bottom w:val="nil"/>
            </w:tcBorders>
            <w:vAlign w:val="top"/>
          </w:tcPr>
          <w:p w14:paraId="49143A2D">
            <w:pPr>
              <w:rPr>
                <w:rFonts w:ascii="Arial"/>
                <w:snapToGrid w:val="0"/>
                <w:color w:val="000000" w:themeColor="text1"/>
                <w:sz w:val="21"/>
                <w14:textFill>
                  <w14:solidFill>
                    <w14:schemeClr w14:val="tx1"/>
                  </w14:solidFill>
                </w14:textFill>
              </w:rPr>
            </w:pPr>
          </w:p>
        </w:tc>
        <w:tc>
          <w:tcPr>
            <w:tcW w:w="373" w:type="dxa"/>
            <w:vAlign w:val="top"/>
          </w:tcPr>
          <w:p w14:paraId="01432B5A">
            <w:pPr>
              <w:rPr>
                <w:rFonts w:ascii="Arial"/>
                <w:snapToGrid w:val="0"/>
                <w:color w:val="000000" w:themeColor="text1"/>
                <w:sz w:val="21"/>
                <w14:textFill>
                  <w14:solidFill>
                    <w14:schemeClr w14:val="tx1"/>
                  </w14:solidFill>
                </w14:textFill>
              </w:rPr>
            </w:pPr>
          </w:p>
        </w:tc>
      </w:tr>
      <w:tr w14:paraId="5AA15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602" w:type="dxa"/>
            <w:vMerge w:val="continue"/>
            <w:tcBorders>
              <w:top w:val="nil"/>
            </w:tcBorders>
            <w:textDirection w:val="tbRlV"/>
            <w:vAlign w:val="top"/>
          </w:tcPr>
          <w:p w14:paraId="4E39C49E">
            <w:pPr>
              <w:rPr>
                <w:rFonts w:ascii="Arial"/>
                <w:snapToGrid w:val="0"/>
                <w:color w:val="000000" w:themeColor="text1"/>
                <w:sz w:val="21"/>
                <w14:textFill>
                  <w14:solidFill>
                    <w14:schemeClr w14:val="tx1"/>
                  </w14:solidFill>
                </w14:textFill>
              </w:rPr>
            </w:pPr>
          </w:p>
        </w:tc>
        <w:tc>
          <w:tcPr>
            <w:tcW w:w="1007" w:type="dxa"/>
            <w:vAlign w:val="top"/>
          </w:tcPr>
          <w:p w14:paraId="43495E78">
            <w:pPr>
              <w:pStyle w:val="25"/>
              <w:spacing w:before="78" w:line="217" w:lineRule="auto"/>
              <w:ind w:left="187"/>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龙潭乡</w:t>
            </w:r>
          </w:p>
        </w:tc>
        <w:tc>
          <w:tcPr>
            <w:tcW w:w="2433" w:type="dxa"/>
            <w:vAlign w:val="top"/>
          </w:tcPr>
          <w:p w14:paraId="5EE03AA4">
            <w:pPr>
              <w:pStyle w:val="25"/>
              <w:spacing w:before="78" w:line="217" w:lineRule="auto"/>
              <w:ind w:left="898"/>
              <w:rPr>
                <w:snapToGrid w:val="0"/>
                <w:color w:val="000000" w:themeColor="text1"/>
                <w14:textFill>
                  <w14:solidFill>
                    <w14:schemeClr w14:val="tx1"/>
                  </w14:solidFill>
                </w14:textFill>
              </w:rPr>
            </w:pPr>
            <w:r>
              <w:rPr>
                <w:snapToGrid w:val="0"/>
                <w:color w:val="000000" w:themeColor="text1"/>
                <w:spacing w:val="-5"/>
                <w14:textFill>
                  <w14:solidFill>
                    <w14:schemeClr w14:val="tx1"/>
                  </w14:solidFill>
                </w14:textFill>
              </w:rPr>
              <w:t>龙潭乡</w:t>
            </w:r>
          </w:p>
        </w:tc>
        <w:tc>
          <w:tcPr>
            <w:tcW w:w="918" w:type="dxa"/>
            <w:vAlign w:val="center"/>
          </w:tcPr>
          <w:p w14:paraId="2C970D02">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16</w:t>
            </w:r>
          </w:p>
        </w:tc>
        <w:tc>
          <w:tcPr>
            <w:tcW w:w="1112" w:type="dxa"/>
            <w:vAlign w:val="center"/>
          </w:tcPr>
          <w:p w14:paraId="7530D9A4">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16</w:t>
            </w:r>
          </w:p>
        </w:tc>
        <w:tc>
          <w:tcPr>
            <w:tcW w:w="811" w:type="dxa"/>
            <w:vAlign w:val="center"/>
          </w:tcPr>
          <w:p w14:paraId="41E25E25">
            <w:pPr>
              <w:keepNext w:val="0"/>
              <w:keepLines w:val="0"/>
              <w:widowControl/>
              <w:suppressLineNumbers w:val="0"/>
              <w:jc w:val="center"/>
              <w:textAlignment w:val="center"/>
              <w:rPr>
                <w:snapToGrid w:val="0"/>
                <w:color w:val="000000" w:themeColor="text1"/>
                <w14:textFill>
                  <w14:solidFill>
                    <w14:schemeClr w14:val="tx1"/>
                  </w14:solidFill>
                </w14:textFill>
              </w:rPr>
            </w:pPr>
            <w:r>
              <w:rPr>
                <w:rFonts w:hint="eastAsia" w:ascii="宋体" w:hAnsi="宋体" w:eastAsia="宋体" w:cs="宋体"/>
                <w:i w:val="0"/>
                <w:iCs w:val="0"/>
                <w:snapToGrid w:val="0"/>
                <w:color w:val="000000" w:themeColor="text1"/>
                <w:kern w:val="0"/>
                <w:sz w:val="22"/>
                <w:szCs w:val="22"/>
                <w:u w:val="none"/>
                <w:lang w:val="en-US" w:eastAsia="zh-CN" w:bidi="ar"/>
                <w14:textFill>
                  <w14:solidFill>
                    <w14:schemeClr w14:val="tx1"/>
                  </w14:solidFill>
                </w14:textFill>
              </w:rPr>
              <w:t>0</w:t>
            </w:r>
          </w:p>
        </w:tc>
        <w:tc>
          <w:tcPr>
            <w:tcW w:w="1197" w:type="dxa"/>
            <w:vAlign w:val="center"/>
          </w:tcPr>
          <w:p w14:paraId="08987709">
            <w:pPr>
              <w:jc w:val="center"/>
              <w:textAlignment w:val="center"/>
              <w:rPr>
                <w:snapToGrid w:val="0"/>
                <w:color w:val="000000" w:themeColor="text1"/>
                <w14:textFill>
                  <w14:solidFill>
                    <w14:schemeClr w14:val="tx1"/>
                  </w14:solidFill>
                </w14:textFill>
              </w:rPr>
            </w:pPr>
            <w:r>
              <w:rPr>
                <w:rFonts w:hint="eastAsia" w:ascii="宋体" w:hAnsi="宋体" w:eastAsia="宋体" w:cs="宋体"/>
                <w:snapToGrid w:val="0"/>
                <w:color w:val="000000" w:themeColor="text1"/>
                <w:sz w:val="22"/>
                <w:szCs w:val="22"/>
                <w:lang w:eastAsia="zh-CN"/>
                <w14:textFill>
                  <w14:solidFill>
                    <w14:schemeClr w14:val="tx1"/>
                  </w14:solidFill>
                </w14:textFill>
              </w:rPr>
              <w:t>30</w:t>
            </w:r>
          </w:p>
        </w:tc>
        <w:tc>
          <w:tcPr>
            <w:tcW w:w="5290" w:type="dxa"/>
            <w:vMerge w:val="continue"/>
            <w:tcBorders>
              <w:top w:val="nil"/>
            </w:tcBorders>
            <w:vAlign w:val="top"/>
          </w:tcPr>
          <w:p w14:paraId="284B6E38">
            <w:pPr>
              <w:rPr>
                <w:rFonts w:ascii="Arial"/>
                <w:snapToGrid w:val="0"/>
                <w:color w:val="000000" w:themeColor="text1"/>
                <w:sz w:val="21"/>
                <w14:textFill>
                  <w14:solidFill>
                    <w14:schemeClr w14:val="tx1"/>
                  </w14:solidFill>
                </w14:textFill>
              </w:rPr>
            </w:pPr>
          </w:p>
        </w:tc>
        <w:tc>
          <w:tcPr>
            <w:tcW w:w="1516" w:type="dxa"/>
            <w:vMerge w:val="continue"/>
            <w:tcBorders>
              <w:top w:val="nil"/>
            </w:tcBorders>
            <w:vAlign w:val="top"/>
          </w:tcPr>
          <w:p w14:paraId="2698C969">
            <w:pPr>
              <w:rPr>
                <w:rFonts w:ascii="Arial"/>
                <w:snapToGrid w:val="0"/>
                <w:color w:val="000000" w:themeColor="text1"/>
                <w:sz w:val="21"/>
                <w14:textFill>
                  <w14:solidFill>
                    <w14:schemeClr w14:val="tx1"/>
                  </w14:solidFill>
                </w14:textFill>
              </w:rPr>
            </w:pPr>
          </w:p>
        </w:tc>
        <w:tc>
          <w:tcPr>
            <w:tcW w:w="373" w:type="dxa"/>
            <w:vAlign w:val="top"/>
          </w:tcPr>
          <w:p w14:paraId="0CDC9EA3">
            <w:pPr>
              <w:rPr>
                <w:rFonts w:ascii="Arial"/>
                <w:snapToGrid w:val="0"/>
                <w:color w:val="000000" w:themeColor="text1"/>
                <w:sz w:val="21"/>
                <w14:textFill>
                  <w14:solidFill>
                    <w14:schemeClr w14:val="tx1"/>
                  </w14:solidFill>
                </w14:textFill>
              </w:rPr>
            </w:pPr>
          </w:p>
        </w:tc>
      </w:tr>
    </w:tbl>
    <w:p w14:paraId="08F85082">
      <w:pPr>
        <w:rPr>
          <w:rFonts w:ascii="Arial"/>
          <w:color w:val="000000" w:themeColor="text1"/>
          <w:sz w:val="21"/>
          <w14:textFill>
            <w14:solidFill>
              <w14:schemeClr w14:val="tx1"/>
            </w14:solidFill>
          </w14:textFill>
        </w:rPr>
      </w:pPr>
    </w:p>
    <w:p w14:paraId="3F691DE0">
      <w:pPr>
        <w:rPr>
          <w:rFonts w:ascii="Arial" w:hAnsi="Arial" w:eastAsia="Arial" w:cs="Arial"/>
          <w:color w:val="000000" w:themeColor="text1"/>
          <w:sz w:val="21"/>
          <w:szCs w:val="21"/>
          <w14:textFill>
            <w14:solidFill>
              <w14:schemeClr w14:val="tx1"/>
            </w14:solidFill>
          </w14:textFill>
        </w:rPr>
        <w:sectPr>
          <w:pgSz w:w="16840" w:h="11906"/>
          <w:pgMar w:top="1012" w:right="788" w:bottom="0" w:left="785" w:header="0" w:footer="0" w:gutter="0"/>
          <w:cols w:space="720" w:num="1"/>
        </w:sectPr>
      </w:pPr>
    </w:p>
    <w:p w14:paraId="4A809689">
      <w:pPr>
        <w:spacing w:line="395" w:lineRule="auto"/>
        <w:rPr>
          <w:rFonts w:ascii="Arial"/>
          <w:color w:val="000000" w:themeColor="text1"/>
          <w:sz w:val="21"/>
          <w14:textFill>
            <w14:solidFill>
              <w14:schemeClr w14:val="tx1"/>
            </w14:solidFill>
          </w14:textFill>
        </w:rPr>
      </w:pPr>
    </w:p>
    <w:p w14:paraId="4B523E2A">
      <w:pPr>
        <w:pStyle w:val="4"/>
        <w:spacing w:before="61" w:line="227" w:lineRule="auto"/>
        <w:rPr>
          <w:color w:val="000000" w:themeColor="text1"/>
          <w14:textFill>
            <w14:solidFill>
              <w14:schemeClr w14:val="tx1"/>
            </w14:solidFill>
          </w14:textFill>
        </w:rPr>
      </w:pPr>
      <w:r>
        <w:rPr>
          <w:color w:val="000000" w:themeColor="text1"/>
          <w:spacing w:val="14"/>
          <w14:textFill>
            <w14:solidFill>
              <w14:schemeClr w14:val="tx1"/>
            </w14:solidFill>
          </w14:textFill>
        </w:rPr>
        <w:t>备注：</w:t>
      </w:r>
      <w:r>
        <w:rPr>
          <w:color w:val="000000" w:themeColor="text1"/>
          <w:spacing w:val="-34"/>
          <w14:textFill>
            <w14:solidFill>
              <w14:schemeClr w14:val="tx1"/>
            </w14:solidFill>
          </w14:textFill>
        </w:rPr>
        <w:t xml:space="preserve"> </w:t>
      </w:r>
      <w:r>
        <w:rPr>
          <w:color w:val="000000" w:themeColor="text1"/>
          <w:spacing w:val="14"/>
          <w14:textFill>
            <w14:solidFill>
              <w14:schemeClr w14:val="tx1"/>
            </w14:solidFill>
          </w14:textFill>
        </w:rPr>
        <w:t>1.本公示表的数据根据元江县零售点布局规划实行定期评价、动态管理。</w:t>
      </w:r>
    </w:p>
    <w:p w14:paraId="6D469B7C">
      <w:pPr>
        <w:pStyle w:val="4"/>
        <w:spacing w:before="67" w:line="227" w:lineRule="auto"/>
        <w:jc w:val="left"/>
        <w:rPr>
          <w:color w:val="000000" w:themeColor="text1"/>
          <w14:textFill>
            <w14:solidFill>
              <w14:schemeClr w14:val="tx1"/>
            </w14:solidFill>
          </w14:textFill>
        </w:rPr>
      </w:pPr>
      <w:r>
        <w:rPr>
          <w:color w:val="000000" w:themeColor="text1"/>
          <w:spacing w:val="16"/>
          <w14:textFill>
            <w14:solidFill>
              <w14:schemeClr w14:val="tx1"/>
            </w14:solidFill>
          </w14:textFill>
        </w:rPr>
        <w:t>2.每季度根据经济发展、城乡建设、市场形势等变化情况对</w:t>
      </w:r>
      <w:r>
        <w:rPr>
          <w:color w:val="000000" w:themeColor="text1"/>
          <w:spacing w:val="15"/>
          <w14:textFill>
            <w14:solidFill>
              <w14:schemeClr w14:val="tx1"/>
            </w14:solidFill>
          </w14:textFill>
        </w:rPr>
        <w:t>本表中的数据进行动态调整，规划数相应进行动态更新，</w:t>
      </w:r>
      <w:r>
        <w:rPr>
          <w:color w:val="000000" w:themeColor="text1"/>
          <w:spacing w:val="-51"/>
          <w14:textFill>
            <w14:solidFill>
              <w14:schemeClr w14:val="tx1"/>
            </w14:solidFill>
          </w14:textFill>
        </w:rPr>
        <w:t xml:space="preserve"> </w:t>
      </w:r>
      <w:r>
        <w:rPr>
          <w:color w:val="000000" w:themeColor="text1"/>
          <w:spacing w:val="15"/>
          <w14:textFill>
            <w14:solidFill>
              <w14:schemeClr w14:val="tx1"/>
            </w14:solidFill>
          </w14:textFill>
        </w:rPr>
        <w:t>以每季度最后一次公示的数据为准。</w:t>
      </w:r>
    </w:p>
    <w:p w14:paraId="73DA5C97">
      <w:pPr>
        <w:pStyle w:val="4"/>
        <w:spacing w:before="42" w:line="227" w:lineRule="auto"/>
        <w:ind w:left="3"/>
        <w:rPr>
          <w:color w:val="000000" w:themeColor="text1"/>
          <w14:textFill>
            <w14:solidFill>
              <w14:schemeClr w14:val="tx1"/>
            </w14:solidFill>
          </w14:textFill>
        </w:rPr>
      </w:pPr>
      <w:r>
        <w:rPr>
          <w:color w:val="000000" w:themeColor="text1"/>
          <w:spacing w:val="14"/>
          <w14:textFill>
            <w14:solidFill>
              <w14:schemeClr w14:val="tx1"/>
            </w14:solidFill>
          </w14:textFill>
        </w:rPr>
        <w:t>3.本数据由云南省元江哈尼族彝族傣族自治县烟草专卖局负责解释，咨询电话：0877-6013682。</w:t>
      </w:r>
    </w:p>
    <w:p w14:paraId="79889B74">
      <w:pPr>
        <w:spacing w:before="104" w:line="224" w:lineRule="auto"/>
        <w:ind w:left="619"/>
        <w:rPr>
          <w:rFonts w:hint="eastAsia" w:ascii="黑体" w:hAnsi="黑体" w:eastAsia="黑体" w:cs="黑体"/>
          <w:color w:val="000000" w:themeColor="text1"/>
          <w:spacing w:val="8"/>
          <w:sz w:val="32"/>
          <w:szCs w:val="32"/>
          <w14:textFill>
            <w14:solidFill>
              <w14:schemeClr w14:val="tx1"/>
            </w14:solidFill>
          </w14:textFill>
        </w:rPr>
        <w:sectPr>
          <w:pgSz w:w="16838" w:h="11906" w:orient="landscape"/>
          <w:pgMar w:top="1531" w:right="1440" w:bottom="1531" w:left="1440" w:header="851" w:footer="992" w:gutter="0"/>
          <w:pgNumType w:fmt="numberInDash"/>
          <w:cols w:space="425" w:num="1"/>
          <w:docGrid w:type="lines" w:linePitch="312" w:charSpace="0"/>
        </w:sectPr>
      </w:pPr>
    </w:p>
    <w:p w14:paraId="704B892A">
      <w:pPr>
        <w:ind w:firstLine="672"/>
        <w:rPr>
          <w:rFonts w:ascii="黑体" w:hAnsi="黑体" w:eastAsia="黑体" w:cs="黑体"/>
          <w:color w:val="000000" w:themeColor="text1"/>
          <w:spacing w:val="8"/>
          <w:sz w:val="32"/>
          <w:szCs w:val="32"/>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附件</w:t>
      </w:r>
      <w:r>
        <w:rPr>
          <w:rFonts w:ascii="黑体" w:hAnsi="黑体" w:eastAsia="黑体" w:cs="黑体"/>
          <w:color w:val="000000" w:themeColor="text1"/>
          <w:spacing w:val="8"/>
          <w:sz w:val="32"/>
          <w:szCs w:val="32"/>
          <w14:textFill>
            <w14:solidFill>
              <w14:schemeClr w14:val="tx1"/>
            </w14:solidFill>
          </w14:textFill>
        </w:rPr>
        <w:t>3</w:t>
      </w:r>
    </w:p>
    <w:p w14:paraId="1CD9F304">
      <w:pPr>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云南省元江哈尼族彝族傣族自治县烟草制品零售点</w:t>
      </w:r>
    </w:p>
    <w:p w14:paraId="704CA383">
      <w:pPr>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14:textFill>
            <w14:solidFill>
              <w14:schemeClr w14:val="tx1"/>
            </w14:solidFill>
          </w14:textFill>
        </w:rPr>
        <w:drawing>
          <wp:anchor distT="0" distB="0" distL="114300" distR="114300" simplePos="0" relativeHeight="251659264" behindDoc="0" locked="0" layoutInCell="1" allowOverlap="1">
            <wp:simplePos x="0" y="0"/>
            <wp:positionH relativeFrom="column">
              <wp:posOffset>1844675</wp:posOffset>
            </wp:positionH>
            <wp:positionV relativeFrom="paragraph">
              <wp:posOffset>466725</wp:posOffset>
            </wp:positionV>
            <wp:extent cx="5584190" cy="3858895"/>
            <wp:effectExtent l="0" t="0" r="16510" b="8255"/>
            <wp:wrapNone/>
            <wp:docPr id="4" name="图片 2"/>
            <wp:cNvGraphicFramePr>
              <a:graphicFrameLocks xmlns:a="http://schemas.openxmlformats.org/drawingml/2006/main" noChangeAspect="1"/>
              <a:extLst xmlns:a="http://schemas.openxmlformats.org/drawingml/2006/main">
                <a:ext uri="{7FBC4E63-A832-4D11-8238-D91031DB1400}">
                  <s:tag xmlns="http://www.wps.cn/officeDocument/2013/wpsCustomData" xmlns:s="http://www.wps.cn/officeDocument/2013/wpsCustomData">
                    <s:item s:name="picid" s:val="{896ffac2-a0f9-48fe-bf1f-0bbb5aa133a8}"/>
                  </s:tag>
                </a:ext>
              </a:extLst>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25"/>
                    <a:stretch>
                      <a:fillRect/>
                    </a:stretch>
                  </pic:blipFill>
                  <pic:spPr>
                    <a:xfrm>
                      <a:off x="0" y="0"/>
                      <a:ext cx="5584190" cy="3858895"/>
                    </a:xfrm>
                    <a:prstGeom prst="rect">
                      <a:avLst/>
                    </a:prstGeom>
                    <a:noFill/>
                    <a:ln>
                      <a:noFill/>
                    </a:ln>
                  </pic:spPr>
                </pic:pic>
              </a:graphicData>
            </a:graphic>
          </wp:anchor>
        </w:drawing>
      </w:r>
      <w:r>
        <w:rPr>
          <w:rFonts w:hint="eastAsia" w:ascii="方正小标宋_GBK" w:hAnsi="方正小标宋_GBK" w:eastAsia="方正小标宋_GBK" w:cs="方正小标宋_GBK"/>
          <w:color w:val="000000" w:themeColor="text1"/>
          <w:sz w:val="44"/>
          <w:szCs w:val="44"/>
          <w14:textFill>
            <w14:solidFill>
              <w14:schemeClr w14:val="tx1"/>
            </w14:solidFill>
          </w14:textFill>
        </w:rPr>
        <w:t>合理布局网格示意图</w:t>
      </w:r>
    </w:p>
    <w:p w14:paraId="4729C83C">
      <w:pPr>
        <w:ind w:firstLine="0" w:firstLineChars="0"/>
        <w:jc w:val="center"/>
        <w:rPr>
          <w:rFonts w:ascii="仿宋_GB2312" w:hAnsi="仿宋_GB2312" w:cs="仿宋_GB2312"/>
          <w:color w:val="000000" w:themeColor="text1"/>
          <w:sz w:val="24"/>
          <w14:textFill>
            <w14:solidFill>
              <w14:schemeClr w14:val="tx1"/>
            </w14:solidFill>
          </w14:textFill>
        </w:rPr>
      </w:pPr>
    </w:p>
    <w:p w14:paraId="28F37227">
      <w:pPr>
        <w:ind w:right="-31" w:rightChars="-15" w:firstLine="0" w:firstLineChars="0"/>
        <w:jc w:val="center"/>
        <w:rPr>
          <w:rFonts w:hint="eastAsia" w:ascii="仿宋_GB2312" w:hAnsi="仿宋_GB2312" w:eastAsia="仿宋_GB2312" w:cs="仿宋_GB2312"/>
          <w:color w:val="000000" w:themeColor="text1"/>
          <w:sz w:val="32"/>
          <w:szCs w:val="32"/>
          <w:lang w:eastAsia="zh-CN"/>
          <w14:textFill>
            <w14:solidFill>
              <w14:schemeClr w14:val="tx1"/>
            </w14:solidFill>
          </w14:textFill>
        </w:rPr>
      </w:pPr>
    </w:p>
    <w:p w14:paraId="7877128A">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769A059D">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1C3D8D98">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766591F2">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63222A94">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44E970C1">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17295E0A">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14:textFill>
            <w14:solidFill>
              <w14:schemeClr w14:val="tx1"/>
            </w14:solidFill>
          </w14:textFill>
        </w:rPr>
      </w:pPr>
    </w:p>
    <w:p w14:paraId="48AB8018">
      <w:pPr>
        <w:keepNext w:val="0"/>
        <w:keepLines w:val="0"/>
        <w:pageBreakBefore w:val="0"/>
        <w:kinsoku/>
        <w:wordWrap/>
        <w:overflowPunct/>
        <w:topLinePunct w:val="0"/>
        <w:autoSpaceDE/>
        <w:autoSpaceDN/>
        <w:bidi w:val="0"/>
        <w:adjustRightInd/>
        <w:snapToGrid/>
        <w:spacing w:before="104" w:line="360" w:lineRule="auto"/>
        <w:rPr>
          <w:rFonts w:hint="eastAsia" w:ascii="黑体" w:hAnsi="黑体" w:eastAsia="黑体" w:cs="黑体"/>
          <w:color w:val="000000" w:themeColor="text1"/>
          <w:spacing w:val="8"/>
          <w:sz w:val="28"/>
          <w:szCs w:val="28"/>
          <w:lang w:val="en-US" w:eastAsia="zh-CN"/>
          <w14:textFill>
            <w14:solidFill>
              <w14:schemeClr w14:val="tx1"/>
            </w14:solidFill>
          </w14:textFill>
        </w:rPr>
      </w:pPr>
      <w:r>
        <w:rPr>
          <w:rFonts w:hint="eastAsia" w:ascii="黑体" w:hAnsi="黑体" w:eastAsia="黑体" w:cs="黑体"/>
          <w:color w:val="000000" w:themeColor="text1"/>
          <w:spacing w:val="8"/>
          <w:sz w:val="28"/>
          <w:szCs w:val="28"/>
          <w14:textFill>
            <w14:solidFill>
              <w14:schemeClr w14:val="tx1"/>
            </w14:solidFill>
          </w14:textFill>
        </w:rPr>
        <w:t>附件</w:t>
      </w:r>
      <w:r>
        <w:rPr>
          <w:rFonts w:hint="eastAsia" w:ascii="黑体" w:hAnsi="黑体" w:eastAsia="黑体" w:cs="黑体"/>
          <w:color w:val="000000" w:themeColor="text1"/>
          <w:spacing w:val="8"/>
          <w:sz w:val="28"/>
          <w:szCs w:val="28"/>
          <w:lang w:val="en-US" w:eastAsia="zh-CN"/>
          <w14:textFill>
            <w14:solidFill>
              <w14:schemeClr w14:val="tx1"/>
            </w14:solidFill>
          </w14:textFill>
        </w:rPr>
        <w:t>4</w:t>
      </w:r>
    </w:p>
    <w:p w14:paraId="7AC7B54E">
      <w:pPr>
        <w:keepNext w:val="0"/>
        <w:keepLines w:val="0"/>
        <w:pageBreakBefore w:val="0"/>
        <w:kinsoku/>
        <w:wordWrap/>
        <w:overflowPunct/>
        <w:topLinePunct w:val="0"/>
        <w:autoSpaceDE/>
        <w:autoSpaceDN/>
        <w:bidi w:val="0"/>
        <w:adjustRightInd/>
        <w:snapToGrid/>
        <w:spacing w:before="42" w:line="360" w:lineRule="auto"/>
        <w:jc w:val="center"/>
        <w:rPr>
          <w:rFonts w:hint="eastAsia" w:ascii="方正小标宋简体" w:hAnsi="方正小标宋简体" w:eastAsia="方正小标宋简体" w:cs="方正小标宋简体"/>
          <w:color w:val="000000" w:themeColor="text1"/>
          <w:sz w:val="40"/>
          <w:szCs w:val="40"/>
          <w14:textFill>
            <w14:solidFill>
              <w14:schemeClr w14:val="tx1"/>
            </w14:solidFill>
          </w14:textFill>
        </w:rPr>
      </w:pPr>
      <w:r>
        <w:rPr>
          <w:rFonts w:hint="eastAsia" w:ascii="方正小标宋简体" w:hAnsi="方正小标宋简体" w:eastAsia="方正小标宋简体" w:cs="方正小标宋简体"/>
          <w:color w:val="000000" w:themeColor="text1"/>
          <w:sz w:val="40"/>
          <w:szCs w:val="40"/>
          <w14:textFill>
            <w14:solidFill>
              <w14:schemeClr w14:val="tx1"/>
            </w14:solidFill>
          </w14:textFill>
        </w:rPr>
        <w:t>云南省元江哈尼族彝族傣族自治县雪茄烟专营零售点合理布局公示表</w:t>
      </w:r>
    </w:p>
    <w:p w14:paraId="3CC5FD21">
      <w:pPr>
        <w:keepNext w:val="0"/>
        <w:keepLines w:val="0"/>
        <w:pageBreakBefore w:val="0"/>
        <w:kinsoku/>
        <w:wordWrap/>
        <w:overflowPunct/>
        <w:topLinePunct w:val="0"/>
        <w:autoSpaceDE/>
        <w:autoSpaceDN/>
        <w:bidi w:val="0"/>
        <w:adjustRightInd/>
        <w:snapToGrid/>
        <w:spacing w:line="360" w:lineRule="auto"/>
        <w:ind w:firstLine="400" w:firstLineChars="200"/>
        <w:rPr>
          <w:color w:val="000000" w:themeColor="text1"/>
          <w:sz w:val="20"/>
          <w:szCs w:val="22"/>
          <w14:textFill>
            <w14:solidFill>
              <w14:schemeClr w14:val="tx1"/>
            </w14:solidFill>
          </w14:textFill>
        </w:rPr>
      </w:pPr>
      <w:r>
        <w:rPr>
          <w:rFonts w:hint="eastAsia"/>
          <w:color w:val="000000" w:themeColor="text1"/>
          <w:sz w:val="20"/>
          <w:szCs w:val="22"/>
          <w14:textFill>
            <w14:solidFill>
              <w14:schemeClr w14:val="tx1"/>
            </w14:solidFill>
          </w14:textFill>
        </w:rPr>
        <w:t>单位：云南省元江哈尼族彝族傣族自治县</w:t>
      </w:r>
      <w:r>
        <w:rPr>
          <w:rFonts w:hint="eastAsia"/>
          <w:color w:val="000000" w:themeColor="text1"/>
          <w:sz w:val="20"/>
          <w:szCs w:val="22"/>
          <w:lang w:val="en-US" w:eastAsia="zh-CN"/>
          <w14:textFill>
            <w14:solidFill>
              <w14:schemeClr w14:val="tx1"/>
            </w14:solidFill>
          </w14:textFill>
        </w:rPr>
        <w:t>烟草专卖局</w:t>
      </w:r>
      <w:r>
        <w:rPr>
          <w:rFonts w:hint="eastAsia"/>
          <w:color w:val="000000" w:themeColor="text1"/>
          <w:sz w:val="20"/>
          <w:szCs w:val="22"/>
          <w14:textFill>
            <w14:solidFill>
              <w14:schemeClr w14:val="tx1"/>
            </w14:solidFill>
          </w14:textFill>
        </w:rPr>
        <w:t xml:space="preserve">                       </w:t>
      </w:r>
      <w:r>
        <w:rPr>
          <w:rFonts w:hint="eastAsia"/>
          <w:color w:val="000000" w:themeColor="text1"/>
          <w:sz w:val="20"/>
          <w:szCs w:val="22"/>
          <w:lang w:val="en-US" w:eastAsia="zh-CN"/>
          <w14:textFill>
            <w14:solidFill>
              <w14:schemeClr w14:val="tx1"/>
            </w14:solidFill>
          </w14:textFill>
        </w:rPr>
        <w:t xml:space="preserve">    </w:t>
      </w:r>
      <w:r>
        <w:rPr>
          <w:rFonts w:hint="eastAsia"/>
          <w:color w:val="000000" w:themeColor="text1"/>
          <w:sz w:val="20"/>
          <w:szCs w:val="22"/>
          <w14:textFill>
            <w14:solidFill>
              <w14:schemeClr w14:val="tx1"/>
            </w14:solidFill>
          </w14:textFill>
        </w:rPr>
        <w:t xml:space="preserve">  公示时间：</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18"/>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年</w:t>
      </w:r>
      <w:r>
        <w:rPr>
          <w:rFonts w:ascii="宋体" w:hAnsi="宋体" w:eastAsia="宋体" w:cs="宋体"/>
          <w:color w:val="000000" w:themeColor="text1"/>
          <w:spacing w:val="-24"/>
          <w:position w:val="1"/>
          <w:sz w:val="19"/>
          <w:szCs w:val="19"/>
          <w14:textFill>
            <w14:solidFill>
              <w14:schemeClr w14:val="tx1"/>
            </w14:solidFill>
          </w14:textFill>
        </w:rPr>
        <w:t xml:space="preserve"> </w:t>
      </w:r>
      <w:r>
        <w:rPr>
          <w:rFonts w:hint="eastAsia" w:cs="Arial"/>
          <w:color w:val="000000" w:themeColor="text1"/>
          <w:spacing w:val="7"/>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月</w:t>
      </w:r>
      <w:r>
        <w:rPr>
          <w:rFonts w:ascii="宋体" w:hAnsi="宋体" w:eastAsia="宋体" w:cs="宋体"/>
          <w:color w:val="000000" w:themeColor="text1"/>
          <w:spacing w:val="-22"/>
          <w:position w:val="1"/>
          <w:sz w:val="19"/>
          <w:szCs w:val="19"/>
          <w14:textFill>
            <w14:solidFill>
              <w14:schemeClr w14:val="tx1"/>
            </w14:solidFill>
          </w14:textFill>
        </w:rPr>
        <w:t xml:space="preserve"> </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7"/>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日</w:t>
      </w:r>
      <w:r>
        <w:rPr>
          <w:rFonts w:hint="eastAsia" w:ascii="宋体" w:hAnsi="宋体" w:eastAsia="宋体" w:cs="宋体"/>
          <w:color w:val="000000" w:themeColor="text1"/>
          <w:spacing w:val="7"/>
          <w:position w:val="1"/>
          <w:sz w:val="19"/>
          <w:szCs w:val="19"/>
          <w:lang w:val="en-US" w:eastAsia="zh-CN"/>
          <w14:textFill>
            <w14:solidFill>
              <w14:schemeClr w14:val="tx1"/>
            </w14:solidFill>
          </w14:textFill>
        </w:rPr>
        <w:t xml:space="preserve"> </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Arial" w:hAnsi="Arial" w:eastAsia="Arial" w:cs="Arial"/>
          <w:color w:val="000000" w:themeColor="text1"/>
          <w:spacing w:val="21"/>
          <w:position w:val="1"/>
          <w:sz w:val="19"/>
          <w:szCs w:val="19"/>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年</w:t>
      </w:r>
      <w:r>
        <w:rPr>
          <w:rFonts w:hint="eastAsia" w:ascii="宋体" w:hAnsi="宋体" w:cs="宋体"/>
          <w:color w:val="000000" w:themeColor="text1"/>
          <w:spacing w:val="-27"/>
          <w:position w:val="1"/>
          <w:sz w:val="19"/>
          <w:szCs w:val="19"/>
          <w:lang w:val="en-US" w:eastAsia="zh-CN"/>
          <w14:textFill>
            <w14:solidFill>
              <w14:schemeClr w14:val="tx1"/>
            </w14:solidFill>
          </w14:textFill>
        </w:rPr>
        <w:t xml:space="preserve">        </w:t>
      </w:r>
      <w:r>
        <w:rPr>
          <w:rFonts w:hint="eastAsia" w:eastAsia="宋体" w:cs="Arial"/>
          <w:color w:val="000000" w:themeColor="text1"/>
          <w:spacing w:val="7"/>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月</w:t>
      </w:r>
      <w:r>
        <w:rPr>
          <w:rFonts w:hint="eastAsia" w:ascii="Arial" w:hAnsi="Arial" w:eastAsia="宋体" w:cs="Arial"/>
          <w:color w:val="000000" w:themeColor="text1"/>
          <w:spacing w:val="7"/>
          <w:position w:val="1"/>
          <w:sz w:val="19"/>
          <w:szCs w:val="19"/>
          <w:lang w:val="en-US" w:eastAsia="zh-CN"/>
          <w14:textFill>
            <w14:solidFill>
              <w14:schemeClr w14:val="tx1"/>
            </w14:solidFill>
          </w14:textFill>
        </w:rPr>
        <w:t xml:space="preserve">    </w:t>
      </w:r>
      <w:r>
        <w:rPr>
          <w:rFonts w:ascii="宋体" w:hAnsi="宋体" w:eastAsia="宋体" w:cs="宋体"/>
          <w:color w:val="000000" w:themeColor="text1"/>
          <w:spacing w:val="7"/>
          <w:position w:val="1"/>
          <w:sz w:val="19"/>
          <w:szCs w:val="19"/>
          <w14:textFill>
            <w14:solidFill>
              <w14:schemeClr w14:val="tx1"/>
            </w14:solidFill>
          </w14:textFill>
        </w:rPr>
        <w:t>日</w:t>
      </w:r>
    </w:p>
    <w:tbl>
      <w:tblPr>
        <w:tblStyle w:val="24"/>
        <w:tblpPr w:leftFromText="180" w:rightFromText="180" w:vertAnchor="text" w:horzAnchor="page" w:tblpX="1789" w:tblpY="151"/>
        <w:tblOverlap w:val="never"/>
        <w:tblW w:w="4895"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2144"/>
        <w:gridCol w:w="3667"/>
        <w:gridCol w:w="1848"/>
        <w:gridCol w:w="2574"/>
        <w:gridCol w:w="1793"/>
        <w:gridCol w:w="1649"/>
      </w:tblGrid>
      <w:tr w14:paraId="46CB66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2143" w:type="dxa"/>
            <w:vMerge w:val="restart"/>
            <w:tcBorders>
              <w:top w:val="single" w:color="auto" w:sz="4" w:space="0"/>
              <w:left w:val="single" w:color="auto" w:sz="4" w:space="0"/>
              <w:right w:val="single" w:color="auto" w:sz="4" w:space="0"/>
            </w:tcBorders>
            <w:vAlign w:val="center"/>
          </w:tcPr>
          <w:p w14:paraId="0C0DB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烟草零售点总规划数（个）</w:t>
            </w:r>
          </w:p>
        </w:tc>
        <w:tc>
          <w:tcPr>
            <w:tcW w:w="3665" w:type="dxa"/>
            <w:tcBorders>
              <w:left w:val="single" w:color="auto" w:sz="4" w:space="0"/>
            </w:tcBorders>
            <w:vAlign w:val="center"/>
          </w:tcPr>
          <w:p w14:paraId="0AEF19E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类型</w:t>
            </w:r>
          </w:p>
        </w:tc>
        <w:tc>
          <w:tcPr>
            <w:tcW w:w="1847" w:type="dxa"/>
            <w:vAlign w:val="center"/>
          </w:tcPr>
          <w:p w14:paraId="24B1A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规划数（个）</w:t>
            </w:r>
          </w:p>
        </w:tc>
        <w:tc>
          <w:tcPr>
            <w:tcW w:w="2572" w:type="dxa"/>
            <w:vAlign w:val="center"/>
          </w:tcPr>
          <w:p w14:paraId="130F73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当前实际数（个）</w:t>
            </w:r>
          </w:p>
        </w:tc>
        <w:tc>
          <w:tcPr>
            <w:tcW w:w="1792" w:type="dxa"/>
            <w:vAlign w:val="center"/>
          </w:tcPr>
          <w:p w14:paraId="08FC01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余量</w:t>
            </w:r>
          </w:p>
        </w:tc>
        <w:tc>
          <w:tcPr>
            <w:tcW w:w="1647" w:type="dxa"/>
            <w:tcBorders>
              <w:right w:val="single" w:color="auto" w:sz="4" w:space="0"/>
            </w:tcBorders>
            <w:vAlign w:val="center"/>
          </w:tcPr>
          <w:p w14:paraId="76E184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备注</w:t>
            </w:r>
          </w:p>
        </w:tc>
      </w:tr>
      <w:tr w14:paraId="137907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0" w:hRule="atLeast"/>
        </w:trPr>
        <w:tc>
          <w:tcPr>
            <w:tcW w:w="2143" w:type="dxa"/>
            <w:vMerge w:val="continue"/>
            <w:tcBorders>
              <w:left w:val="single" w:color="auto" w:sz="4" w:space="0"/>
              <w:bottom w:val="single" w:color="auto" w:sz="4" w:space="0"/>
              <w:right w:val="single" w:color="auto" w:sz="4" w:space="0"/>
            </w:tcBorders>
            <w:vAlign w:val="center"/>
          </w:tcPr>
          <w:p w14:paraId="3A2112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p>
        </w:tc>
        <w:tc>
          <w:tcPr>
            <w:tcW w:w="3665" w:type="dxa"/>
            <w:tcBorders>
              <w:left w:val="single" w:color="auto" w:sz="4" w:space="0"/>
            </w:tcBorders>
            <w:vAlign w:val="center"/>
          </w:tcPr>
          <w:p w14:paraId="2707A8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卷烟</w:t>
            </w:r>
            <w:r>
              <w:rPr>
                <w:rFonts w:hint="eastAsia" w:ascii="宋体" w:hAnsi="宋体" w:cs="宋体"/>
                <w:i w:val="0"/>
                <w:iCs w:val="0"/>
                <w:snapToGrid w:val="0"/>
                <w:color w:val="000000" w:themeColor="text1"/>
                <w:kern w:val="0"/>
                <w:sz w:val="21"/>
                <w:szCs w:val="21"/>
                <w:u w:val="none"/>
                <w:lang w:val="en-US" w:eastAsia="zh-CN"/>
                <w14:textFill>
                  <w14:solidFill>
                    <w14:schemeClr w14:val="tx1"/>
                  </w14:solidFill>
                </w14:textFill>
              </w:rPr>
              <w:t>、</w:t>
            </w: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雪茄烟零售点</w:t>
            </w:r>
          </w:p>
        </w:tc>
        <w:tc>
          <w:tcPr>
            <w:tcW w:w="1847" w:type="dxa"/>
            <w:vAlign w:val="center"/>
          </w:tcPr>
          <w:p w14:paraId="66BAEB7F">
            <w:pPr>
              <w:kinsoku/>
              <w:autoSpaceDE/>
              <w:autoSpaceDN/>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snapToGrid w:val="0"/>
                <w:color w:val="000000" w:themeColor="text1"/>
                <w:lang w:eastAsia="zh-CN"/>
                <w14:textFill>
                  <w14:solidFill>
                    <w14:schemeClr w14:val="tx1"/>
                  </w14:solidFill>
                </w14:textFill>
              </w:rPr>
              <w:t>1200</w:t>
            </w:r>
          </w:p>
        </w:tc>
        <w:tc>
          <w:tcPr>
            <w:tcW w:w="2572" w:type="dxa"/>
            <w:vAlign w:val="center"/>
          </w:tcPr>
          <w:p w14:paraId="3C101BA5">
            <w:pPr>
              <w:kinsoku/>
              <w:autoSpaceDE/>
              <w:autoSpaceDN/>
              <w:adjustRightInd/>
              <w:snapToGrid/>
              <w:spacing w:line="360" w:lineRule="auto"/>
              <w:jc w:val="center"/>
              <w:textAlignment w:val="center"/>
              <w:rPr>
                <w:rFonts w:hint="default"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cs="宋体"/>
                <w:snapToGrid w:val="0"/>
                <w:color w:val="000000" w:themeColor="text1"/>
                <w:lang w:val="en-US" w:eastAsia="zh-CN"/>
                <w14:textFill>
                  <w14:solidFill>
                    <w14:schemeClr w14:val="tx1"/>
                  </w14:solidFill>
                </w14:textFill>
              </w:rPr>
              <w:t>1173</w:t>
            </w:r>
          </w:p>
        </w:tc>
        <w:tc>
          <w:tcPr>
            <w:tcW w:w="1792" w:type="dxa"/>
            <w:vAlign w:val="center"/>
          </w:tcPr>
          <w:p w14:paraId="4932DD4F">
            <w:pPr>
              <w:kinsoku/>
              <w:autoSpaceDE/>
              <w:autoSpaceDN/>
              <w:adjustRightInd/>
              <w:snapToGrid/>
              <w:spacing w:line="360" w:lineRule="auto"/>
              <w:jc w:val="center"/>
              <w:textAlignment w:val="center"/>
              <w:rPr>
                <w:rFonts w:hint="default"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cs="宋体"/>
                <w:snapToGrid w:val="0"/>
                <w:color w:val="000000" w:themeColor="text1"/>
                <w:lang w:val="en-US" w:eastAsia="zh-CN"/>
                <w14:textFill>
                  <w14:solidFill>
                    <w14:schemeClr w14:val="tx1"/>
                  </w14:solidFill>
                </w14:textFill>
              </w:rPr>
              <w:t>27</w:t>
            </w:r>
          </w:p>
        </w:tc>
        <w:tc>
          <w:tcPr>
            <w:tcW w:w="1647" w:type="dxa"/>
            <w:tcBorders>
              <w:right w:val="single" w:color="auto" w:sz="4" w:space="0"/>
            </w:tcBorders>
            <w:vAlign w:val="center"/>
          </w:tcPr>
          <w:p w14:paraId="43CF5CC3">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p>
        </w:tc>
      </w:tr>
      <w:tr w14:paraId="4FDD77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5" w:hRule="atLeast"/>
        </w:trPr>
        <w:tc>
          <w:tcPr>
            <w:tcW w:w="2143" w:type="dxa"/>
            <w:tcBorders>
              <w:top w:val="single" w:color="auto" w:sz="4" w:space="0"/>
              <w:left w:val="single" w:color="auto" w:sz="4" w:space="0"/>
              <w:bottom w:val="single" w:color="auto" w:sz="4" w:space="0"/>
              <w:right w:val="single" w:color="auto" w:sz="4" w:space="0"/>
            </w:tcBorders>
            <w:vAlign w:val="center"/>
          </w:tcPr>
          <w:p w14:paraId="30B2E2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1260</w:t>
            </w:r>
          </w:p>
        </w:tc>
        <w:tc>
          <w:tcPr>
            <w:tcW w:w="3665" w:type="dxa"/>
            <w:tcBorders>
              <w:left w:val="single" w:color="auto" w:sz="4" w:space="0"/>
              <w:bottom w:val="single" w:color="auto" w:sz="4" w:space="0"/>
            </w:tcBorders>
            <w:vAlign w:val="center"/>
          </w:tcPr>
          <w:p w14:paraId="6E6F1D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i w:val="0"/>
                <w:iCs w:val="0"/>
                <w:snapToGrid w:val="0"/>
                <w:color w:val="000000" w:themeColor="text1"/>
                <w:kern w:val="0"/>
                <w:sz w:val="21"/>
                <w:szCs w:val="21"/>
                <w:u w:val="none"/>
                <w:lang w:val="en-US" w:eastAsia="zh-CN"/>
                <w14:textFill>
                  <w14:solidFill>
                    <w14:schemeClr w14:val="tx1"/>
                  </w14:solidFill>
                </w14:textFill>
              </w:rPr>
              <w:t>雪茄烟专营店零售点</w:t>
            </w:r>
          </w:p>
        </w:tc>
        <w:tc>
          <w:tcPr>
            <w:tcW w:w="1847" w:type="dxa"/>
            <w:tcBorders>
              <w:bottom w:val="single" w:color="auto" w:sz="4" w:space="0"/>
            </w:tcBorders>
            <w:vAlign w:val="center"/>
          </w:tcPr>
          <w:p w14:paraId="05AB0CC8">
            <w:pPr>
              <w:kinsoku/>
              <w:autoSpaceDE/>
              <w:autoSpaceDN/>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eastAsia="宋体" w:cs="宋体"/>
                <w:snapToGrid w:val="0"/>
                <w:color w:val="000000" w:themeColor="text1"/>
                <w:lang w:eastAsia="zh-CN"/>
                <w14:textFill>
                  <w14:solidFill>
                    <w14:schemeClr w14:val="tx1"/>
                  </w14:solidFill>
                </w14:textFill>
              </w:rPr>
              <w:t>60</w:t>
            </w:r>
          </w:p>
        </w:tc>
        <w:tc>
          <w:tcPr>
            <w:tcW w:w="2572" w:type="dxa"/>
            <w:tcBorders>
              <w:bottom w:val="single" w:color="auto" w:sz="4" w:space="0"/>
            </w:tcBorders>
            <w:vAlign w:val="center"/>
          </w:tcPr>
          <w:p w14:paraId="5F7DF9EC">
            <w:pPr>
              <w:kinsoku/>
              <w:autoSpaceDE/>
              <w:autoSpaceDN/>
              <w:adjustRightInd/>
              <w:snapToGrid/>
              <w:spacing w:line="360" w:lineRule="auto"/>
              <w:jc w:val="center"/>
              <w:textAlignment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cs="宋体"/>
                <w:snapToGrid w:val="0"/>
                <w:color w:val="000000" w:themeColor="text1"/>
                <w:lang w:val="en-US" w:eastAsia="zh-CN"/>
                <w14:textFill>
                  <w14:solidFill>
                    <w14:schemeClr w14:val="tx1"/>
                  </w14:solidFill>
                </w14:textFill>
              </w:rPr>
              <w:t>1</w:t>
            </w:r>
          </w:p>
        </w:tc>
        <w:tc>
          <w:tcPr>
            <w:tcW w:w="1792" w:type="dxa"/>
            <w:tcBorders>
              <w:bottom w:val="single" w:color="auto" w:sz="4" w:space="0"/>
            </w:tcBorders>
            <w:vAlign w:val="center"/>
          </w:tcPr>
          <w:p w14:paraId="3C0A88DF">
            <w:pPr>
              <w:kinsoku/>
              <w:autoSpaceDE/>
              <w:autoSpaceDN/>
              <w:adjustRightInd/>
              <w:snapToGrid/>
              <w:spacing w:line="360" w:lineRule="auto"/>
              <w:jc w:val="center"/>
              <w:textAlignment w:val="center"/>
              <w:rPr>
                <w:rFonts w:hint="default" w:ascii="宋体" w:hAnsi="宋体" w:eastAsia="宋体" w:cs="宋体"/>
                <w:snapToGrid w:val="0"/>
                <w:color w:val="000000" w:themeColor="text1"/>
                <w:spacing w:val="-1"/>
                <w:sz w:val="21"/>
                <w:szCs w:val="21"/>
                <w:lang w:val="en-US" w:eastAsia="zh-CN"/>
                <w14:textFill>
                  <w14:solidFill>
                    <w14:schemeClr w14:val="tx1"/>
                  </w14:solidFill>
                </w14:textFill>
              </w:rPr>
            </w:pPr>
            <w:r>
              <w:rPr>
                <w:rFonts w:hint="eastAsia" w:ascii="宋体" w:hAnsi="宋体" w:cs="宋体"/>
                <w:snapToGrid w:val="0"/>
                <w:color w:val="000000" w:themeColor="text1"/>
                <w:lang w:val="en-US" w:eastAsia="zh-CN"/>
                <w14:textFill>
                  <w14:solidFill>
                    <w14:schemeClr w14:val="tx1"/>
                  </w14:solidFill>
                </w14:textFill>
              </w:rPr>
              <w:t>59</w:t>
            </w:r>
          </w:p>
        </w:tc>
        <w:tc>
          <w:tcPr>
            <w:tcW w:w="1647" w:type="dxa"/>
            <w:tcBorders>
              <w:bottom w:val="single" w:color="auto" w:sz="4" w:space="0"/>
              <w:right w:val="single" w:color="auto" w:sz="4" w:space="0"/>
            </w:tcBorders>
            <w:vAlign w:val="center"/>
          </w:tcPr>
          <w:p w14:paraId="6A768A68">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snapToGrid w:val="0"/>
                <w:color w:val="000000" w:themeColor="text1"/>
                <w:spacing w:val="-1"/>
                <w:sz w:val="21"/>
                <w:szCs w:val="21"/>
                <w:lang w:val="en-US" w:eastAsia="zh-CN"/>
                <w14:textFill>
                  <w14:solidFill>
                    <w14:schemeClr w14:val="tx1"/>
                  </w14:solidFill>
                </w14:textFill>
              </w:rPr>
            </w:pPr>
          </w:p>
        </w:tc>
      </w:tr>
    </w:tbl>
    <w:p w14:paraId="1A3716A2">
      <w:pPr>
        <w:keepNext w:val="0"/>
        <w:keepLines w:val="0"/>
        <w:pageBreakBefore w:val="0"/>
        <w:kinsoku/>
        <w:wordWrap/>
        <w:overflowPunct/>
        <w:topLinePunct w:val="0"/>
        <w:autoSpaceDE/>
        <w:autoSpaceDN/>
        <w:bidi w:val="0"/>
        <w:adjustRightInd/>
        <w:snapToGrid/>
        <w:spacing w:before="42" w:line="360" w:lineRule="auto"/>
        <w:ind w:firstLine="396" w:firstLineChars="200"/>
        <w:rPr>
          <w:rFonts w:ascii="宋体" w:hAnsi="宋体" w:cs="宋体"/>
          <w:color w:val="000000" w:themeColor="text1"/>
          <w:spacing w:val="-1"/>
          <w:sz w:val="20"/>
          <w:szCs w:val="22"/>
          <w14:textFill>
            <w14:solidFill>
              <w14:schemeClr w14:val="tx1"/>
            </w14:solidFill>
          </w14:textFill>
        </w:rPr>
      </w:pPr>
      <w:r>
        <w:rPr>
          <w:rFonts w:ascii="宋体" w:hAnsi="宋体" w:cs="宋体"/>
          <w:color w:val="000000" w:themeColor="text1"/>
          <w:spacing w:val="-1"/>
          <w:sz w:val="20"/>
          <w:szCs w:val="22"/>
          <w14:textFill>
            <w14:solidFill>
              <w14:schemeClr w14:val="tx1"/>
            </w14:solidFill>
          </w14:textFill>
        </w:rPr>
        <w:t>备注：</w:t>
      </w:r>
    </w:p>
    <w:p w14:paraId="3E2D4EDB">
      <w:pPr>
        <w:keepNext w:val="0"/>
        <w:keepLines w:val="0"/>
        <w:pageBreakBefore w:val="0"/>
        <w:kinsoku/>
        <w:wordWrap/>
        <w:overflowPunct/>
        <w:topLinePunct w:val="0"/>
        <w:autoSpaceDE/>
        <w:autoSpaceDN/>
        <w:bidi w:val="0"/>
        <w:adjustRightInd/>
        <w:snapToGrid/>
        <w:spacing w:before="42" w:line="360" w:lineRule="auto"/>
        <w:ind w:firstLine="396" w:firstLineChars="200"/>
        <w:rPr>
          <w:rFonts w:ascii="宋体" w:hAnsi="宋体" w:cs="宋体"/>
          <w:color w:val="000000" w:themeColor="text1"/>
          <w:spacing w:val="-1"/>
          <w:sz w:val="20"/>
          <w:szCs w:val="22"/>
          <w14:textFill>
            <w14:solidFill>
              <w14:schemeClr w14:val="tx1"/>
            </w14:solidFill>
          </w14:textFill>
        </w:rPr>
      </w:pPr>
      <w:r>
        <w:rPr>
          <w:rFonts w:hint="eastAsia" w:ascii="宋体" w:hAnsi="宋体" w:cs="宋体"/>
          <w:color w:val="000000" w:themeColor="text1"/>
          <w:spacing w:val="-1"/>
          <w:sz w:val="20"/>
          <w:szCs w:val="22"/>
          <w14:textFill>
            <w14:solidFill>
              <w14:schemeClr w14:val="tx1"/>
            </w14:solidFill>
          </w14:textFill>
        </w:rPr>
        <w:t>1.本公示表的数据根据</w:t>
      </w:r>
      <w:r>
        <w:rPr>
          <w:rFonts w:hint="eastAsia" w:ascii="宋体" w:hAnsi="宋体" w:cs="宋体"/>
          <w:color w:val="000000" w:themeColor="text1"/>
          <w:spacing w:val="-1"/>
          <w:sz w:val="20"/>
          <w:szCs w:val="22"/>
          <w:lang w:val="en-US" w:eastAsia="zh-CN"/>
          <w14:textFill>
            <w14:solidFill>
              <w14:schemeClr w14:val="tx1"/>
            </w14:solidFill>
          </w14:textFill>
        </w:rPr>
        <w:t>辖区雪茄烟</w:t>
      </w:r>
      <w:r>
        <w:rPr>
          <w:rFonts w:hint="eastAsia" w:ascii="宋体" w:hAnsi="宋体" w:cs="宋体"/>
          <w:color w:val="000000" w:themeColor="text1"/>
          <w:spacing w:val="-1"/>
          <w:sz w:val="20"/>
          <w:szCs w:val="22"/>
          <w14:textFill>
            <w14:solidFill>
              <w14:schemeClr w14:val="tx1"/>
            </w14:solidFill>
          </w14:textFill>
        </w:rPr>
        <w:t>零售点布局规划实行定期评价、动态管理。</w:t>
      </w:r>
    </w:p>
    <w:p w14:paraId="64E95E5A">
      <w:pPr>
        <w:keepNext w:val="0"/>
        <w:keepLines w:val="0"/>
        <w:pageBreakBefore w:val="0"/>
        <w:kinsoku/>
        <w:wordWrap/>
        <w:overflowPunct/>
        <w:topLinePunct w:val="0"/>
        <w:autoSpaceDE/>
        <w:autoSpaceDN/>
        <w:bidi w:val="0"/>
        <w:adjustRightInd/>
        <w:snapToGrid/>
        <w:spacing w:before="42" w:line="360" w:lineRule="auto"/>
        <w:ind w:left="420" w:leftChars="200"/>
        <w:rPr>
          <w:rFonts w:ascii="宋体" w:hAnsi="宋体" w:cs="宋体"/>
          <w:color w:val="000000" w:themeColor="text1"/>
          <w:spacing w:val="-1"/>
          <w:sz w:val="20"/>
          <w:szCs w:val="22"/>
          <w14:textFill>
            <w14:solidFill>
              <w14:schemeClr w14:val="tx1"/>
            </w14:solidFill>
          </w14:textFill>
        </w:rPr>
      </w:pPr>
      <w:r>
        <w:rPr>
          <w:rFonts w:hint="eastAsia" w:ascii="宋体" w:hAnsi="宋体" w:cs="宋体"/>
          <w:color w:val="000000" w:themeColor="text1"/>
          <w:spacing w:val="-1"/>
          <w:sz w:val="20"/>
          <w:szCs w:val="22"/>
          <w14:textFill>
            <w14:solidFill>
              <w14:schemeClr w14:val="tx1"/>
            </w14:solidFill>
          </w14:textFill>
        </w:rPr>
        <w:t>2每季度根据经济发展、城乡建设、市场形势等变化情况对本表中的数据进行动态调整，规划数相应进行动态更新，以每季度最后一次公示的数据为准。</w:t>
      </w:r>
    </w:p>
    <w:p w14:paraId="19E69926">
      <w:pPr>
        <w:keepNext w:val="0"/>
        <w:keepLines w:val="0"/>
        <w:pageBreakBefore w:val="0"/>
        <w:kinsoku/>
        <w:wordWrap/>
        <w:overflowPunct/>
        <w:topLinePunct w:val="0"/>
        <w:autoSpaceDE/>
        <w:autoSpaceDN/>
        <w:bidi w:val="0"/>
        <w:adjustRightInd/>
        <w:snapToGrid/>
        <w:spacing w:line="360" w:lineRule="auto"/>
        <w:ind w:firstLine="396" w:firstLineChars="200"/>
        <w:rPr>
          <w:rFonts w:hint="eastAsia" w:ascii="宋体" w:hAnsi="宋体" w:cs="宋体"/>
          <w:color w:val="000000" w:themeColor="text1"/>
          <w:spacing w:val="-1"/>
          <w:sz w:val="20"/>
          <w:szCs w:val="22"/>
          <w:lang w:val="en-US" w:eastAsia="zh-CN"/>
          <w14:textFill>
            <w14:solidFill>
              <w14:schemeClr w14:val="tx1"/>
            </w14:solidFill>
          </w14:textFill>
        </w:rPr>
        <w:sectPr>
          <w:pgSz w:w="16838" w:h="11906" w:orient="landscape"/>
          <w:pgMar w:top="1531" w:right="1440" w:bottom="1531" w:left="1440" w:header="851" w:footer="992" w:gutter="0"/>
          <w:pgNumType w:fmt="numberInDash"/>
          <w:cols w:space="425" w:num="1"/>
          <w:docGrid w:type="lines" w:linePitch="312" w:charSpace="0"/>
        </w:sectPr>
      </w:pPr>
      <w:r>
        <w:rPr>
          <w:rFonts w:hint="eastAsia" w:ascii="宋体" w:hAnsi="宋体" w:cs="宋体"/>
          <w:color w:val="000000" w:themeColor="text1"/>
          <w:spacing w:val="-1"/>
          <w:sz w:val="20"/>
          <w:szCs w:val="22"/>
          <w14:textFill>
            <w14:solidFill>
              <w14:schemeClr w14:val="tx1"/>
            </w14:solidFill>
          </w14:textFill>
        </w:rPr>
        <w:t>3.本数据由云南省</w:t>
      </w:r>
      <w:r>
        <w:rPr>
          <w:rFonts w:hint="eastAsia" w:ascii="宋体" w:hAnsi="宋体" w:cs="宋体"/>
          <w:color w:val="000000" w:themeColor="text1"/>
          <w:spacing w:val="-1"/>
          <w:sz w:val="20"/>
          <w:szCs w:val="22"/>
          <w:lang w:eastAsia="zh-CN"/>
          <w14:textFill>
            <w14:solidFill>
              <w14:schemeClr w14:val="tx1"/>
            </w14:solidFill>
          </w14:textFill>
        </w:rPr>
        <w:t>元江</w:t>
      </w:r>
      <w:r>
        <w:rPr>
          <w:rFonts w:hint="eastAsia" w:ascii="宋体" w:hAnsi="宋体" w:cs="宋体"/>
          <w:color w:val="000000" w:themeColor="text1"/>
          <w:spacing w:val="-1"/>
          <w:sz w:val="20"/>
          <w:szCs w:val="22"/>
          <w:lang w:val="en-US" w:eastAsia="zh-CN"/>
          <w14:textFill>
            <w14:solidFill>
              <w14:schemeClr w14:val="tx1"/>
            </w14:solidFill>
          </w14:textFill>
        </w:rPr>
        <w:t>哈尼族彝族傣族自治</w:t>
      </w:r>
      <w:r>
        <w:rPr>
          <w:rFonts w:hint="eastAsia" w:ascii="宋体" w:hAnsi="宋体" w:cs="宋体"/>
          <w:color w:val="000000" w:themeColor="text1"/>
          <w:spacing w:val="-1"/>
          <w:sz w:val="20"/>
          <w:szCs w:val="22"/>
          <w:lang w:eastAsia="zh-CN"/>
          <w14:textFill>
            <w14:solidFill>
              <w14:schemeClr w14:val="tx1"/>
            </w14:solidFill>
          </w14:textFill>
        </w:rPr>
        <w:t>县</w:t>
      </w:r>
      <w:r>
        <w:rPr>
          <w:rFonts w:hint="eastAsia" w:ascii="宋体" w:hAnsi="宋体" w:cs="宋体"/>
          <w:color w:val="000000" w:themeColor="text1"/>
          <w:spacing w:val="-1"/>
          <w:sz w:val="20"/>
          <w:szCs w:val="22"/>
          <w14:textFill>
            <w14:solidFill>
              <w14:schemeClr w14:val="tx1"/>
            </w14:solidFill>
          </w14:textFill>
        </w:rPr>
        <w:t>烟草专卖局负责解释，咨询电话：</w:t>
      </w:r>
      <w:r>
        <w:rPr>
          <w:rFonts w:ascii="宋体" w:hAnsi="宋体" w:cs="宋体"/>
          <w:color w:val="000000" w:themeColor="text1"/>
          <w:spacing w:val="-1"/>
          <w:sz w:val="20"/>
          <w:szCs w:val="22"/>
          <w14:textFill>
            <w14:solidFill>
              <w14:schemeClr w14:val="tx1"/>
            </w14:solidFill>
          </w14:textFill>
        </w:rPr>
        <w:t>087</w:t>
      </w:r>
      <w:r>
        <w:rPr>
          <w:rFonts w:hint="eastAsia" w:ascii="宋体" w:hAnsi="宋体" w:cs="宋体"/>
          <w:color w:val="000000" w:themeColor="text1"/>
          <w:spacing w:val="-1"/>
          <w:sz w:val="20"/>
          <w:szCs w:val="22"/>
          <w:lang w:val="en-US" w:eastAsia="zh-CN"/>
          <w14:textFill>
            <w14:solidFill>
              <w14:schemeClr w14:val="tx1"/>
            </w14:solidFill>
          </w14:textFill>
        </w:rPr>
        <w:t>7</w:t>
      </w:r>
      <w:r>
        <w:rPr>
          <w:rFonts w:ascii="宋体" w:hAnsi="宋体" w:cs="宋体"/>
          <w:color w:val="000000" w:themeColor="text1"/>
          <w:spacing w:val="-1"/>
          <w:sz w:val="20"/>
          <w:szCs w:val="22"/>
          <w14:textFill>
            <w14:solidFill>
              <w14:schemeClr w14:val="tx1"/>
            </w14:solidFill>
          </w14:textFill>
        </w:rPr>
        <w:t>-</w:t>
      </w:r>
      <w:r>
        <w:rPr>
          <w:rFonts w:hint="eastAsia" w:ascii="宋体" w:hAnsi="宋体" w:cs="宋体"/>
          <w:color w:val="000000" w:themeColor="text1"/>
          <w:spacing w:val="-1"/>
          <w:sz w:val="20"/>
          <w:szCs w:val="22"/>
          <w:lang w:val="en-US" w:eastAsia="zh-CN"/>
          <w14:textFill>
            <w14:solidFill>
              <w14:schemeClr w14:val="tx1"/>
            </w14:solidFill>
          </w14:textFill>
        </w:rPr>
        <w:t xml:space="preserve">6013682。                                                       </w:t>
      </w:r>
    </w:p>
    <w:p w14:paraId="607675A1">
      <w:pPr>
        <w:spacing w:before="104" w:line="224" w:lineRule="auto"/>
        <w:rPr>
          <w:rFonts w:hint="eastAsia" w:ascii="方正小标宋简体" w:eastAsia="黑体"/>
          <w:b/>
          <w:bCs/>
          <w:color w:val="000000" w:themeColor="text1"/>
          <w:sz w:val="44"/>
          <w:szCs w:val="44"/>
          <w:lang w:eastAsia="zh-CN"/>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附件</w:t>
      </w:r>
      <w:r>
        <w:rPr>
          <w:rFonts w:hint="eastAsia" w:ascii="黑体" w:hAnsi="黑体" w:eastAsia="黑体" w:cs="黑体"/>
          <w:color w:val="000000" w:themeColor="text1"/>
          <w:spacing w:val="8"/>
          <w:sz w:val="32"/>
          <w:szCs w:val="32"/>
          <w:lang w:val="en-US" w:eastAsia="zh-CN"/>
          <w14:textFill>
            <w14:solidFill>
              <w14:schemeClr w14:val="tx1"/>
            </w14:solidFill>
          </w14:textFill>
        </w:rPr>
        <w:t>5</w:t>
      </w:r>
    </w:p>
    <w:p w14:paraId="7784DCD8">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云南省元江哈尼族彝族傣族自治县</w:t>
      </w:r>
    </w:p>
    <w:p w14:paraId="42FF849A">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烟草制品零售点合理布局规划数动态调整管理制度</w:t>
      </w:r>
    </w:p>
    <w:p w14:paraId="44FA933E">
      <w:pPr>
        <w:snapToGrid w:val="0"/>
        <w:spacing w:line="317" w:lineRule="auto"/>
        <w:jc w:val="center"/>
        <w:rPr>
          <w:rFonts w:hint="eastAsia" w:ascii="方正小标宋简体" w:eastAsia="方正小标宋简体"/>
          <w:color w:val="000000" w:themeColor="text1"/>
          <w:sz w:val="44"/>
          <w:szCs w:val="44"/>
          <w14:textFill>
            <w14:solidFill>
              <w14:schemeClr w14:val="tx1"/>
            </w14:solidFill>
          </w14:textFill>
        </w:rPr>
      </w:pPr>
    </w:p>
    <w:p w14:paraId="2AE7110A">
      <w:pPr>
        <w:numPr>
          <w:ilvl w:val="2"/>
          <w:numId w:val="3"/>
        </w:numPr>
        <w:adjustRightInd w:val="0"/>
        <w:snapToGrid w:val="0"/>
        <w:spacing w:line="336" w:lineRule="auto"/>
        <w:ind w:firstLine="680"/>
        <w:jc w:val="left"/>
        <w:rPr>
          <w:rFonts w:ascii="仿宋_GB2312" w:hAnsi="仿宋_GB2312" w:eastAsia="仿宋_GB2312" w:cs="仿宋_GB2312"/>
          <w:color w:val="000000" w:themeColor="text1"/>
          <w:kern w:val="28"/>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建立合理布局规划管理动态调整机制，做好规范性文件的动态管理，保证《云南省元江哈尼族彝族傣族自治县烟草制品零售点合理布局规划》的科学性、合理性、前瞻性，依据《中华人民共和国行政许可法》《中华人民共和国未成年人保护法》《中华人民共和国烟草专卖法》《中华人民共和国烟草专卖法实施条例》《烟草专卖许可证管理办法》《烟草专卖许可证管理</w:t>
      </w:r>
      <w:r>
        <w:rPr>
          <w:rFonts w:hint="eastAsia" w:ascii="仿宋_GB2312" w:hAnsi="仿宋_GB2312" w:eastAsia="仿宋_GB2312" w:cs="仿宋_GB2312"/>
          <w:color w:val="000000" w:themeColor="text1"/>
          <w:kern w:val="28"/>
          <w:sz w:val="32"/>
          <w:szCs w:val="32"/>
          <w14:textFill>
            <w14:solidFill>
              <w14:schemeClr w14:val="tx1"/>
            </w14:solidFill>
          </w14:textFill>
        </w:rPr>
        <w:t>办法实施细则》等法律法规规章和规范性文件的规定，特制定本制度。</w:t>
      </w:r>
    </w:p>
    <w:p w14:paraId="5EB48B91">
      <w:pPr>
        <w:numPr>
          <w:ilvl w:val="2"/>
          <w:numId w:val="3"/>
        </w:numPr>
        <w:adjustRightInd w:val="0"/>
        <w:snapToGrid w:val="0"/>
        <w:spacing w:line="336" w:lineRule="auto"/>
        <w:ind w:firstLine="680"/>
        <w:jc w:val="left"/>
        <w:rPr>
          <w:rFonts w:ascii="楷体_GB2312" w:hAnsi="仿宋_GB2312" w:eastAsia="楷体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8"/>
          <w:sz w:val="32"/>
          <w:szCs w:val="32"/>
          <w14:textFill>
            <w14:solidFill>
              <w14:schemeClr w14:val="tx1"/>
            </w14:solidFill>
          </w14:textFill>
        </w:rPr>
        <w:t>根据《云南省元江哈尼族彝族傣族自治县烟草制品零售点合理布局规划》，云南省元江哈尼族彝族傣族自治县</w:t>
      </w:r>
      <w:r>
        <w:rPr>
          <w:rFonts w:hint="eastAsia" w:ascii="仿宋_GB2312" w:hAnsi="仿宋_GB2312" w:eastAsia="仿宋_GB2312" w:cs="仿宋_GB2312"/>
          <w:color w:val="000000" w:themeColor="text1"/>
          <w:sz w:val="32"/>
          <w:szCs w:val="32"/>
          <w14:textFill>
            <w14:solidFill>
              <w14:schemeClr w14:val="tx1"/>
            </w14:solidFill>
          </w14:textFill>
        </w:rPr>
        <w:t>烟草专卖局每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季度</w:t>
      </w:r>
      <w:r>
        <w:rPr>
          <w:rFonts w:hint="eastAsia" w:ascii="仿宋_GB2312" w:hAnsi="仿宋_GB2312" w:eastAsia="仿宋_GB2312" w:cs="仿宋_GB2312"/>
          <w:color w:val="000000" w:themeColor="text1"/>
          <w:sz w:val="32"/>
          <w:szCs w:val="32"/>
          <w14:textFill>
            <w14:solidFill>
              <w14:schemeClr w14:val="tx1"/>
            </w14:solidFill>
          </w14:textFill>
        </w:rPr>
        <w:t>根据本地</w:t>
      </w:r>
      <w:r>
        <w:rPr>
          <w:rFonts w:eastAsia="仿宋_GB2312"/>
          <w:color w:val="000000" w:themeColor="text1"/>
          <w:sz w:val="32"/>
          <w:szCs w:val="32"/>
          <w14:textFill>
            <w14:solidFill>
              <w14:schemeClr w14:val="tx1"/>
            </w14:solidFill>
          </w14:textFill>
        </w:rPr>
        <w:t>人口数量、交通状况、经济发展水平、居民消费能力、消费购买习惯</w:t>
      </w:r>
      <w:r>
        <w:rPr>
          <w:rFonts w:hint="eastAsia" w:ascii="仿宋_GB2312" w:hAnsi="仿宋_GB2312" w:eastAsia="仿宋_GB2312" w:cs="仿宋_GB2312"/>
          <w:color w:val="000000" w:themeColor="text1"/>
          <w:sz w:val="32"/>
          <w:szCs w:val="32"/>
          <w14:textFill>
            <w14:solidFill>
              <w14:schemeClr w14:val="tx1"/>
            </w14:solidFill>
          </w14:textFill>
        </w:rPr>
        <w:t>等变化情况，对辖区单元网格零售点合理布局规划数进行动态调整。</w:t>
      </w:r>
    </w:p>
    <w:p w14:paraId="597364A7">
      <w:pPr>
        <w:numPr>
          <w:ilvl w:val="2"/>
          <w:numId w:val="3"/>
        </w:numPr>
        <w:adjustRightInd w:val="0"/>
        <w:snapToGrid w:val="0"/>
        <w:spacing w:line="336" w:lineRule="auto"/>
        <w:ind w:firstLine="68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零售点合理布局规划数动态调整情况应提交云南省元江哈尼族彝族傣族自治县</w:t>
      </w:r>
      <w:r>
        <w:rPr>
          <w:rFonts w:hint="eastAsia" w:ascii="仿宋_GB2312" w:eastAsia="仿宋_GB2312"/>
          <w:color w:val="000000" w:themeColor="text1"/>
          <w:sz w:val="32"/>
          <w:szCs w:val="32"/>
          <w14:textFill>
            <w14:solidFill>
              <w14:schemeClr w14:val="tx1"/>
            </w14:solidFill>
          </w14:textFill>
        </w:rPr>
        <w:t>烟草专卖局</w:t>
      </w:r>
      <w:r>
        <w:rPr>
          <w:rFonts w:hint="eastAsia" w:ascii="仿宋_GB2312" w:eastAsia="仿宋_GB2312"/>
          <w:color w:val="000000" w:themeColor="text1"/>
          <w:sz w:val="32"/>
          <w:szCs w:val="32"/>
          <w:lang w:val="en-US" w:eastAsia="zh-CN"/>
          <w14:textFill>
            <w14:solidFill>
              <w14:schemeClr w14:val="tx1"/>
            </w14:solidFill>
          </w14:textFill>
        </w:rPr>
        <w:t>局长（经理）办公会、党总支</w:t>
      </w:r>
      <w:r>
        <w:rPr>
          <w:rFonts w:hint="eastAsia" w:ascii="仿宋_GB2312" w:eastAsia="仿宋_GB2312"/>
          <w:color w:val="000000" w:themeColor="text1"/>
          <w:sz w:val="32"/>
          <w:szCs w:val="32"/>
          <w14:textFill>
            <w14:solidFill>
              <w14:schemeClr w14:val="tx1"/>
            </w14:solidFill>
          </w14:textFill>
        </w:rPr>
        <w:t>讨论决定。讨论通过的，应在</w:t>
      </w:r>
      <w:r>
        <w:rPr>
          <w:rFonts w:hint="eastAsia" w:ascii="仿宋_GB2312" w:hAnsi="仿宋_GB2312" w:eastAsia="仿宋_GB2312" w:cs="仿宋_GB2312"/>
          <w:color w:val="000000" w:themeColor="text1"/>
          <w:sz w:val="32"/>
          <w:szCs w:val="32"/>
          <w14:textFill>
            <w14:solidFill>
              <w14:schemeClr w14:val="tx1"/>
            </w14:solidFill>
          </w14:textFill>
        </w:rPr>
        <w:t>五日内通过政府网站、行业网站及政务服务大厅等</w:t>
      </w:r>
      <w:r>
        <w:rPr>
          <w:rFonts w:hint="eastAsia" w:ascii="仿宋_GB2312" w:hAnsi="Times New Roman" w:eastAsia="仿宋_GB2312" w:cs="Times New Roman"/>
          <w:color w:val="000000" w:themeColor="text1"/>
          <w:sz w:val="32"/>
          <w:szCs w:val="32"/>
          <w14:textFill>
            <w14:solidFill>
              <w14:schemeClr w14:val="tx1"/>
            </w14:solidFill>
          </w14:textFill>
        </w:rPr>
        <w:t>平台公示《云南省元江哈尼族彝族傣族自治县烟草制品零售点合理布局公示表》</w:t>
      </w:r>
      <w:r>
        <w:rPr>
          <w:rFonts w:hint="eastAsia" w:ascii="仿宋_GB2312" w:hAnsi="Times New Roman" w:eastAsia="仿宋_GB2312" w:cs="Times New Roman"/>
          <w:color w:val="000000" w:themeColor="text1"/>
          <w:sz w:val="32"/>
          <w:szCs w:val="32"/>
          <w:lang w:eastAsia="zh-CN"/>
          <w14:textFill>
            <w14:solidFill>
              <w14:schemeClr w14:val="tx1"/>
            </w14:solidFill>
          </w14:textFill>
        </w:rPr>
        <w:t>、《云南省元江哈尼族彝族傣族自治县雪茄烟专营零售点合理布局公示表》</w:t>
      </w:r>
      <w:r>
        <w:rPr>
          <w:rFonts w:hint="eastAsia" w:ascii="仿宋_GB2312" w:hAnsi="Times New Roman" w:eastAsia="仿宋_GB2312" w:cs="Times New Roman"/>
          <w:color w:val="000000" w:themeColor="text1"/>
          <w:sz w:val="32"/>
          <w:szCs w:val="32"/>
          <w14:textFill>
            <w14:solidFill>
              <w14:schemeClr w14:val="tx1"/>
            </w14:solidFill>
          </w14:textFill>
        </w:rPr>
        <w:t>，同时报上一级烟</w:t>
      </w:r>
      <w:r>
        <w:rPr>
          <w:rFonts w:hint="eastAsia" w:ascii="仿宋_GB2312" w:hAnsi="仿宋_GB2312" w:eastAsia="仿宋_GB2312" w:cs="仿宋_GB2312"/>
          <w:color w:val="000000" w:themeColor="text1"/>
          <w:sz w:val="32"/>
          <w:szCs w:val="32"/>
          <w14:textFill>
            <w14:solidFill>
              <w14:schemeClr w14:val="tx1"/>
            </w14:solidFill>
          </w14:textFill>
        </w:rPr>
        <w:t>草专卖局备案。</w:t>
      </w:r>
    </w:p>
    <w:p w14:paraId="22432CF0">
      <w:pPr>
        <w:numPr>
          <w:ilvl w:val="2"/>
          <w:numId w:val="3"/>
        </w:numPr>
        <w:adjustRightInd w:val="0"/>
        <w:snapToGrid w:val="0"/>
        <w:spacing w:line="336" w:lineRule="auto"/>
        <w:ind w:firstLine="68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零售点合理布局规划数动态调整情况</w:t>
      </w:r>
      <w:r>
        <w:rPr>
          <w:rFonts w:hint="eastAsia" w:ascii="仿宋_GB2312" w:hAnsi="仿宋_GB2312" w:eastAsia="仿宋_GB2312" w:cs="仿宋_GB2312"/>
          <w:color w:val="000000" w:themeColor="text1"/>
          <w:kern w:val="28"/>
          <w:sz w:val="32"/>
          <w:szCs w:val="32"/>
          <w14:textFill>
            <w14:solidFill>
              <w14:schemeClr w14:val="tx1"/>
            </w14:solidFill>
          </w14:textFill>
        </w:rPr>
        <w:t>于公示之日起三日后开始实施</w:t>
      </w:r>
      <w:r>
        <w:rPr>
          <w:rFonts w:hint="eastAsia" w:ascii="仿宋_GB2312" w:hAnsi="仿宋_GB2312" w:eastAsia="仿宋_GB2312" w:cs="仿宋_GB2312"/>
          <w:color w:val="000000" w:themeColor="text1"/>
          <w:sz w:val="32"/>
          <w:szCs w:val="32"/>
          <w14:textFill>
            <w14:solidFill>
              <w14:schemeClr w14:val="tx1"/>
            </w14:solidFill>
          </w14:textFill>
        </w:rPr>
        <w:t>。</w:t>
      </w:r>
    </w:p>
    <w:p w14:paraId="38D82110">
      <w:pPr>
        <w:numPr>
          <w:ilvl w:val="2"/>
          <w:numId w:val="3"/>
        </w:numPr>
        <w:adjustRightInd w:val="0"/>
        <w:snapToGrid w:val="0"/>
        <w:spacing w:line="336" w:lineRule="auto"/>
        <w:ind w:firstLine="680"/>
        <w:jc w:val="left"/>
        <w:rPr>
          <w:rFonts w:ascii="楷体" w:hAnsi="楷体" w:eastAsia="楷体" w:cs="楷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云南省元江哈尼族彝族傣族自治县烟草专卖局每年年底向上一级烟草专卖局报告本年度烟草制品零售点合理布局规划数动态调整工作执行情况。</w:t>
      </w:r>
    </w:p>
    <w:p w14:paraId="58429E9D">
      <w:pPr>
        <w:numPr>
          <w:ilvl w:val="2"/>
          <w:numId w:val="3"/>
        </w:numPr>
        <w:adjustRightInd w:val="0"/>
        <w:snapToGrid w:val="0"/>
        <w:spacing w:line="336" w:lineRule="auto"/>
        <w:ind w:firstLine="68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本制度中按照年、月、日计算期间的，开始的当日不计入，自下一日开始计算。均以工作日计算，不含法定节假日。</w:t>
      </w:r>
    </w:p>
    <w:p w14:paraId="365F452D">
      <w:pPr>
        <w:numPr>
          <w:ilvl w:val="2"/>
          <w:numId w:val="3"/>
        </w:numPr>
        <w:adjustRightInd w:val="0"/>
        <w:snapToGrid w:val="0"/>
        <w:spacing w:line="336" w:lineRule="auto"/>
        <w:ind w:firstLine="68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本制度由云南省元江哈尼族彝族傣族自治县烟草专卖局负责解释。</w:t>
      </w:r>
    </w:p>
    <w:p w14:paraId="6F95F408">
      <w:pPr>
        <w:numPr>
          <w:ilvl w:val="2"/>
          <w:numId w:val="3"/>
        </w:numPr>
        <w:adjustRightInd w:val="0"/>
        <w:snapToGrid w:val="0"/>
        <w:spacing w:line="336" w:lineRule="auto"/>
        <w:ind w:firstLine="680"/>
        <w:jc w:val="lef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本制度自《云南省元江哈尼族彝族傣族自治县烟草制品零售点合理布局规划》实施之日起同时施行。</w:t>
      </w:r>
    </w:p>
    <w:p w14:paraId="7F73D3FF">
      <w:pPr>
        <w:spacing w:before="104" w:line="224" w:lineRule="auto"/>
        <w:rPr>
          <w:rFonts w:hint="eastAsia" w:ascii="黑体" w:hAnsi="黑体" w:eastAsia="黑体" w:cs="黑体"/>
          <w:color w:val="000000" w:themeColor="text1"/>
          <w:spacing w:val="8"/>
          <w:sz w:val="32"/>
          <w:szCs w:val="32"/>
          <w14:textFill>
            <w14:solidFill>
              <w14:schemeClr w14:val="tx1"/>
            </w14:solidFill>
          </w14:textFill>
        </w:rPr>
      </w:pPr>
    </w:p>
    <w:p w14:paraId="43D010C1">
      <w:pPr>
        <w:spacing w:before="104" w:line="224" w:lineRule="auto"/>
        <w:rPr>
          <w:rFonts w:hint="eastAsia" w:ascii="黑体" w:hAnsi="黑体" w:eastAsia="黑体" w:cs="黑体"/>
          <w:color w:val="000000" w:themeColor="text1"/>
          <w:spacing w:val="8"/>
          <w:sz w:val="32"/>
          <w:szCs w:val="32"/>
          <w14:textFill>
            <w14:solidFill>
              <w14:schemeClr w14:val="tx1"/>
            </w14:solidFill>
          </w14:textFill>
        </w:rPr>
      </w:pPr>
    </w:p>
    <w:p w14:paraId="6053F1B1">
      <w:pPr>
        <w:spacing w:before="104" w:line="224" w:lineRule="auto"/>
        <w:rPr>
          <w:rFonts w:hint="eastAsia" w:ascii="黑体" w:hAnsi="黑体" w:eastAsia="黑体" w:cs="黑体"/>
          <w:color w:val="000000" w:themeColor="text1"/>
          <w:spacing w:val="8"/>
          <w:sz w:val="32"/>
          <w:szCs w:val="32"/>
          <w14:textFill>
            <w14:solidFill>
              <w14:schemeClr w14:val="tx1"/>
            </w14:solidFill>
          </w14:textFill>
        </w:rPr>
      </w:pPr>
    </w:p>
    <w:p w14:paraId="75D24819">
      <w:pPr>
        <w:spacing w:before="104" w:line="224" w:lineRule="auto"/>
        <w:rPr>
          <w:rFonts w:hint="eastAsia" w:ascii="黑体" w:hAnsi="黑体" w:eastAsia="黑体" w:cs="黑体"/>
          <w:color w:val="000000" w:themeColor="text1"/>
          <w:spacing w:val="8"/>
          <w:sz w:val="32"/>
          <w:szCs w:val="32"/>
          <w14:textFill>
            <w14:solidFill>
              <w14:schemeClr w14:val="tx1"/>
            </w14:solidFill>
          </w14:textFill>
        </w:rPr>
      </w:pPr>
    </w:p>
    <w:p w14:paraId="2599FC42">
      <w:pPr>
        <w:spacing w:before="104" w:line="224" w:lineRule="auto"/>
        <w:rPr>
          <w:rFonts w:hint="eastAsia" w:ascii="黑体" w:hAnsi="黑体" w:eastAsia="黑体" w:cs="黑体"/>
          <w:color w:val="000000" w:themeColor="text1"/>
          <w:spacing w:val="8"/>
          <w:sz w:val="32"/>
          <w:szCs w:val="32"/>
          <w14:textFill>
            <w14:solidFill>
              <w14:schemeClr w14:val="tx1"/>
            </w14:solidFill>
          </w14:textFill>
        </w:rPr>
      </w:pPr>
    </w:p>
    <w:p w14:paraId="0DA8AC68">
      <w:pPr>
        <w:rPr>
          <w:rFonts w:hint="eastAsia"/>
          <w:color w:val="000000" w:themeColor="text1"/>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br w:type="page"/>
      </w:r>
    </w:p>
    <w:p w14:paraId="0657BD02">
      <w:pPr>
        <w:spacing w:before="104" w:line="224" w:lineRule="auto"/>
        <w:rPr>
          <w:rFonts w:hint="eastAsia" w:ascii="黑体" w:hAnsi="黑体" w:eastAsia="黑体" w:cs="黑体"/>
          <w:color w:val="000000" w:themeColor="text1"/>
          <w:spacing w:val="8"/>
          <w:sz w:val="32"/>
          <w:szCs w:val="32"/>
          <w:lang w:eastAsia="zh-CN"/>
          <w14:textFill>
            <w14:solidFill>
              <w14:schemeClr w14:val="tx1"/>
            </w14:solidFill>
          </w14:textFill>
        </w:rPr>
      </w:pPr>
      <w:r>
        <w:rPr>
          <w:rFonts w:hint="eastAsia" w:ascii="黑体" w:hAnsi="黑体" w:eastAsia="黑体" w:cs="黑体"/>
          <w:color w:val="000000" w:themeColor="text1"/>
          <w:spacing w:val="8"/>
          <w:sz w:val="32"/>
          <w:szCs w:val="32"/>
          <w14:textFill>
            <w14:solidFill>
              <w14:schemeClr w14:val="tx1"/>
            </w14:solidFill>
          </w14:textFill>
        </w:rPr>
        <w:t>附件</w:t>
      </w:r>
      <w:r>
        <w:rPr>
          <w:rFonts w:hint="eastAsia" w:ascii="黑体" w:hAnsi="黑体" w:eastAsia="黑体" w:cs="黑体"/>
          <w:color w:val="000000" w:themeColor="text1"/>
          <w:spacing w:val="8"/>
          <w:sz w:val="32"/>
          <w:szCs w:val="32"/>
          <w:lang w:val="en-US" w:eastAsia="zh-CN"/>
          <w14:textFill>
            <w14:solidFill>
              <w14:schemeClr w14:val="tx1"/>
            </w14:solidFill>
          </w14:textFill>
        </w:rPr>
        <w:t>6</w:t>
      </w:r>
    </w:p>
    <w:p w14:paraId="77946BD8">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云南省元江哈尼族彝族傣族自治县</w:t>
      </w:r>
    </w:p>
    <w:p w14:paraId="4561E628">
      <w:pPr>
        <w:snapToGrid w:val="0"/>
        <w:spacing w:line="317" w:lineRule="auto"/>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烟草制品零售点排队轮候制度</w:t>
      </w:r>
    </w:p>
    <w:p w14:paraId="363FB757">
      <w:pPr>
        <w:snapToGrid w:val="0"/>
        <w:spacing w:line="317" w:lineRule="auto"/>
        <w:jc w:val="center"/>
        <w:rPr>
          <w:rFonts w:hint="eastAsia" w:ascii="方正小标宋简体" w:eastAsia="方正小标宋简体"/>
          <w:color w:val="000000" w:themeColor="text1"/>
          <w:sz w:val="44"/>
          <w:szCs w:val="44"/>
          <w14:textFill>
            <w14:solidFill>
              <w14:schemeClr w14:val="tx1"/>
            </w14:solidFill>
          </w14:textFill>
        </w:rPr>
      </w:pPr>
    </w:p>
    <w:p w14:paraId="1E9DBE05">
      <w:pPr>
        <w:numPr>
          <w:ilvl w:val="2"/>
          <w:numId w:val="4"/>
        </w:numPr>
        <w:adjustRightInd w:val="0"/>
        <w:snapToGrid w:val="0"/>
        <w:spacing w:line="336" w:lineRule="auto"/>
        <w:ind w:firstLine="68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坚持公平、公正、公开原则，规范实施《云南省元江哈尼族彝族傣族自治县烟草制品零售点合理布局规划》，根据《中华人民共和国行政许可法》《烟草专卖许可证管理办法》《烟草专卖许可证管理办法实施细则》等法律法规规章和规范性文件的规定，结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元江</w:t>
      </w:r>
      <w:r>
        <w:rPr>
          <w:rFonts w:hint="eastAsia" w:ascii="仿宋_GB2312" w:hAnsi="仿宋_GB2312" w:eastAsia="仿宋_GB2312" w:cs="仿宋_GB2312"/>
          <w:color w:val="000000" w:themeColor="text1"/>
          <w:sz w:val="32"/>
          <w:szCs w:val="32"/>
          <w14:textFill>
            <w14:solidFill>
              <w14:schemeClr w14:val="tx1"/>
            </w14:solidFill>
          </w14:textFill>
        </w:rPr>
        <w:t>县实际，制定本制度。</w:t>
      </w:r>
    </w:p>
    <w:p w14:paraId="3BBDDC47">
      <w:pPr>
        <w:numPr>
          <w:ilvl w:val="2"/>
          <w:numId w:val="4"/>
        </w:numPr>
        <w:adjustRightInd w:val="0"/>
        <w:snapToGrid w:val="0"/>
        <w:spacing w:line="336" w:lineRule="auto"/>
        <w:ind w:firstLine="68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本制度适用于云南省元江哈尼族彝族傣族自治县行政辖区烟草制品零售点新办申请排队轮候管理。</w:t>
      </w:r>
    </w:p>
    <w:p w14:paraId="55DD860F">
      <w:pPr>
        <w:numPr>
          <w:ilvl w:val="2"/>
          <w:numId w:val="4"/>
        </w:numPr>
        <w:adjustRightInd w:val="0"/>
        <w:snapToGrid w:val="0"/>
        <w:spacing w:line="336" w:lineRule="auto"/>
        <w:ind w:firstLine="680"/>
        <w:rPr>
          <w:rFonts w:ascii="黑体" w:hAnsi="黑体" w:eastAsia="黑体"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8"/>
          <w:sz w:val="32"/>
          <w:szCs w:val="32"/>
          <w:lang w:val="en-US" w:eastAsia="zh-CN"/>
          <w14:textFill>
            <w14:solidFill>
              <w14:schemeClr w14:val="tx1"/>
            </w14:solidFill>
          </w14:textFill>
        </w:rPr>
        <w:t>元江县</w:t>
      </w:r>
      <w:r>
        <w:rPr>
          <w:rFonts w:hint="eastAsia" w:ascii="仿宋_GB2312" w:hAnsi="仿宋_GB2312" w:eastAsia="仿宋_GB2312" w:cs="仿宋_GB2312"/>
          <w:color w:val="000000" w:themeColor="text1"/>
          <w:sz w:val="32"/>
          <w:szCs w:val="32"/>
          <w14:textFill>
            <w14:solidFill>
              <w14:schemeClr w14:val="tx1"/>
            </w14:solidFill>
          </w14:textFill>
        </w:rPr>
        <w:t>行政辖区</w:t>
      </w:r>
      <w:r>
        <w:rPr>
          <w:rFonts w:hint="eastAsia" w:ascii="仿宋_GB2312" w:hAnsi="仿宋_GB2312" w:eastAsia="仿宋_GB2312" w:cs="仿宋_GB2312"/>
          <w:color w:val="000000" w:themeColor="text1"/>
          <w:kern w:val="28"/>
          <w:sz w:val="32"/>
          <w:szCs w:val="32"/>
          <w14:textFill>
            <w14:solidFill>
              <w14:schemeClr w14:val="tx1"/>
            </w14:solidFill>
          </w14:textFill>
        </w:rPr>
        <w:t>单元网格内的零售点实际数量大于或等于</w:t>
      </w:r>
      <w:r>
        <w:rPr>
          <w:rFonts w:hint="eastAsia" w:ascii="仿宋_GB2312" w:hAnsi="仿宋_GB2312" w:eastAsia="仿宋_GB2312" w:cs="仿宋_GB2312"/>
          <w:color w:val="000000" w:themeColor="text1"/>
          <w:sz w:val="32"/>
          <w:szCs w:val="32"/>
          <w14:textFill>
            <w14:solidFill>
              <w14:schemeClr w14:val="tx1"/>
            </w14:solidFill>
          </w14:textFill>
        </w:rPr>
        <w:t>合理容量</w:t>
      </w:r>
      <w:r>
        <w:rPr>
          <w:rFonts w:hint="eastAsia" w:ascii="仿宋_GB2312" w:hAnsi="仿宋_GB2312" w:eastAsia="仿宋_GB2312" w:cs="仿宋_GB2312"/>
          <w:color w:val="000000" w:themeColor="text1"/>
          <w:kern w:val="28"/>
          <w:sz w:val="32"/>
          <w:szCs w:val="32"/>
          <w14:textFill>
            <w14:solidFill>
              <w14:schemeClr w14:val="tx1"/>
            </w14:solidFill>
          </w14:textFill>
        </w:rPr>
        <w:t>时不再设新的零售点。新办申请人应按本制度首先提出排队轮候申请，直至该最小单元网格内的零售点实际数量小于</w:t>
      </w:r>
      <w:r>
        <w:rPr>
          <w:rFonts w:hint="eastAsia" w:ascii="仿宋_GB2312" w:hAnsi="仿宋_GB2312" w:eastAsia="仿宋_GB2312" w:cs="仿宋_GB2312"/>
          <w:color w:val="000000" w:themeColor="text1"/>
          <w:sz w:val="32"/>
          <w:szCs w:val="32"/>
          <w14:textFill>
            <w14:solidFill>
              <w14:schemeClr w14:val="tx1"/>
            </w14:solidFill>
          </w14:textFill>
        </w:rPr>
        <w:t>合理容量时，再按照排队轮候的顺序依次提交新办申请。</w:t>
      </w:r>
    </w:p>
    <w:p w14:paraId="6A0D6C47">
      <w:pPr>
        <w:numPr>
          <w:ilvl w:val="2"/>
          <w:numId w:val="4"/>
        </w:numPr>
        <w:adjustRightInd w:val="0"/>
        <w:snapToGrid w:val="0"/>
        <w:spacing w:line="336" w:lineRule="auto"/>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在本制度首次施行时，根据</w:t>
      </w:r>
      <w:r>
        <w:rPr>
          <w:rFonts w:hint="eastAsia" w:ascii="仿宋_GB2312" w:hAnsi="仿宋_GB2312" w:eastAsia="仿宋_GB2312" w:cs="仿宋_GB2312"/>
          <w:color w:val="000000" w:themeColor="text1"/>
          <w:kern w:val="28"/>
          <w:sz w:val="32"/>
          <w:szCs w:val="32"/>
          <w:lang w:val="en-US" w:eastAsia="zh-CN"/>
          <w14:textFill>
            <w14:solidFill>
              <w14:schemeClr w14:val="tx1"/>
            </w14:solidFill>
          </w14:textFill>
        </w:rPr>
        <w:t>元江县</w:t>
      </w:r>
      <w:r>
        <w:rPr>
          <w:rFonts w:hint="eastAsia" w:ascii="仿宋_GB2312" w:hAnsi="仿宋_GB2312" w:eastAsia="仿宋_GB2312" w:cs="仿宋_GB2312"/>
          <w:color w:val="000000" w:themeColor="text1"/>
          <w:sz w:val="32"/>
          <w:szCs w:val="32"/>
          <w14:textFill>
            <w14:solidFill>
              <w14:schemeClr w14:val="tx1"/>
            </w14:solidFill>
          </w14:textFill>
        </w:rPr>
        <w:t>行政辖区</w:t>
      </w:r>
      <w:r>
        <w:rPr>
          <w:rFonts w:hint="eastAsia" w:ascii="仿宋_GB2312" w:hAnsi="仿宋_GB2312" w:eastAsia="仿宋_GB2312" w:cs="仿宋_GB2312"/>
          <w:color w:val="000000" w:themeColor="text1"/>
          <w:kern w:val="28"/>
          <w:sz w:val="32"/>
          <w:szCs w:val="32"/>
          <w14:textFill>
            <w14:solidFill>
              <w14:schemeClr w14:val="tx1"/>
            </w14:solidFill>
          </w14:textFill>
        </w:rPr>
        <w:t>最小单元网格的合理容量公示情况，对符合排队轮候情形的最小单元网格，发证机关采取集中抽签方式确定该最小单元网格首次排队轮候顺序。</w:t>
      </w:r>
    </w:p>
    <w:p w14:paraId="7483EC95">
      <w:pPr>
        <w:adjustRightInd w:val="0"/>
        <w:snapToGrid w:val="0"/>
        <w:spacing w:line="336" w:lineRule="auto"/>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在本制度首次施行前，已执行排队轮候的，按原排队轮候顺序由</w:t>
      </w:r>
      <w:r>
        <w:rPr>
          <w:rFonts w:hint="eastAsia" w:ascii="仿宋_GB2312" w:hAnsi="仿宋_GB2312" w:eastAsia="仿宋_GB2312" w:cs="仿宋_GB2312"/>
          <w:color w:val="000000" w:themeColor="text1"/>
          <w:kern w:val="28"/>
          <w:sz w:val="32"/>
          <w:szCs w:val="32"/>
          <w14:textFill>
            <w14:solidFill>
              <w14:schemeClr w14:val="tx1"/>
            </w14:solidFill>
          </w14:textFill>
        </w:rPr>
        <w:t>发证机关录入排队轮候系统。</w:t>
      </w:r>
    </w:p>
    <w:p w14:paraId="7A50BB13">
      <w:pPr>
        <w:numPr>
          <w:ilvl w:val="2"/>
          <w:numId w:val="4"/>
        </w:numPr>
        <w:adjustRightInd w:val="0"/>
        <w:snapToGrid w:val="0"/>
        <w:spacing w:line="336" w:lineRule="auto"/>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8"/>
          <w:sz w:val="32"/>
          <w:szCs w:val="32"/>
          <w14:textFill>
            <w14:solidFill>
              <w14:schemeClr w14:val="tx1"/>
            </w14:solidFill>
          </w14:textFill>
        </w:rPr>
        <w:t>集中抽签按照“提前申请—集中公证抽签—公示抽签结果”的程序进行。自本制度实施之日起五个工作日内，对外发布参与集中抽签的报名地点、时间和方式；自本制度实施之日起十个工作日内，对外发布集中公证抽签的地点、时间和方案；自本制度实施之日起十五个工作日内，完成集中公证抽签。</w:t>
      </w:r>
    </w:p>
    <w:p w14:paraId="000F5EEA">
      <w:pPr>
        <w:adjustRightInd w:val="0"/>
        <w:snapToGrid w:val="0"/>
        <w:spacing w:line="336" w:lineRule="auto"/>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28"/>
          <w:sz w:val="32"/>
          <w:szCs w:val="32"/>
          <w14:textFill>
            <w14:solidFill>
              <w14:schemeClr w14:val="tx1"/>
            </w14:solidFill>
          </w14:textFill>
        </w:rPr>
        <w:t>集中公证抽签现场按照对外发布方案确定最小单元网格首次排队轮候顺序，并在完成集中公证抽签后二个工作日内公示。</w:t>
      </w:r>
    </w:p>
    <w:p w14:paraId="0DD27DFF">
      <w:pPr>
        <w:numPr>
          <w:ilvl w:val="2"/>
          <w:numId w:val="4"/>
        </w:numPr>
        <w:adjustRightInd w:val="0"/>
        <w:snapToGrid w:val="0"/>
        <w:spacing w:line="336" w:lineRule="auto"/>
        <w:ind w:firstLine="640" w:firstLineChars="200"/>
        <w:rPr>
          <w:rFonts w:ascii="楷体" w:hAnsi="楷体" w:eastAsia="楷体" w:cs="楷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零售点排队轮候采取最小单元网格管理。自愿加入排队轮候的申请人，应线上填写并提交《云南省元江哈尼族彝族傣族自治县烟草制品零售点排队轮候申请表》（详见附表）。申请人在填报信息时应准确、真实。</w:t>
      </w:r>
    </w:p>
    <w:p w14:paraId="5457DA96">
      <w:pPr>
        <w:numPr>
          <w:ilvl w:val="2"/>
          <w:numId w:val="4"/>
        </w:num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系统根据申请人线上提交时间，自动生成排队轮候顺序，并由系统自动推送告知申请人单元网格内当前排队轮候顺序号。</w:t>
      </w:r>
      <w:r>
        <w:rPr>
          <w:rFonts w:hint="eastAsia" w:ascii="楷体" w:hAnsi="楷体" w:eastAsia="楷体" w:cs="楷体"/>
          <w:color w:val="000000" w:themeColor="text1"/>
          <w:sz w:val="32"/>
          <w:szCs w:val="32"/>
          <w14:textFill>
            <w14:solidFill>
              <w14:schemeClr w14:val="tx1"/>
            </w14:solidFill>
          </w14:textFill>
        </w:rPr>
        <w:t>（备注：线上排队轮候系统由省局统一开发，系统填写内容包括但不限于第五条中的登记信息、精确到秒的提交时间、顺序号、辖区内所属网格、约定事项等。）</w:t>
      </w:r>
    </w:p>
    <w:p w14:paraId="4AC66325">
      <w:pPr>
        <w:numPr>
          <w:ilvl w:val="2"/>
          <w:numId w:val="4"/>
        </w:num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发证机关应公开排队轮候情况，并接受公众监督。申请人可通过线上、线下等方式查询排队轮候情况。</w:t>
      </w:r>
    </w:p>
    <w:p w14:paraId="50CA3F9F">
      <w:pPr>
        <w:numPr>
          <w:ilvl w:val="2"/>
          <w:numId w:val="4"/>
        </w:num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当单元网格内可新增零售点时，由发证机关按照顺序号和申请表约定的联系方式在五个工作日内依次通知申请人提交新办申请。</w:t>
      </w:r>
    </w:p>
    <w:p w14:paraId="280D4CE9">
      <w:pPr>
        <w:numPr>
          <w:ilvl w:val="2"/>
          <w:numId w:val="4"/>
        </w:num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到号办理时，申请人提交的办证申请信息应与排队轮候登记信息一致。信息不一致的，申请人需重新登记排队轮候。</w:t>
      </w:r>
    </w:p>
    <w:p w14:paraId="1EC61914">
      <w:pPr>
        <w:numPr>
          <w:ilvl w:val="2"/>
          <w:numId w:val="4"/>
        </w:numPr>
        <w:adjustRightInd w:val="0"/>
        <w:snapToGrid w:val="0"/>
        <w:spacing w:line="336" w:lineRule="auto"/>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云南省元江哈尼族彝族傣族自治县烟草专卖局每年年底向上一级烟草专卖局报告本年度烟草制品零售点排队轮候管理工作情况。</w:t>
      </w:r>
    </w:p>
    <w:p w14:paraId="750784CE">
      <w:pPr>
        <w:numPr>
          <w:ilvl w:val="2"/>
          <w:numId w:val="4"/>
        </w:numPr>
        <w:adjustRightInd w:val="0"/>
        <w:snapToGrid w:val="0"/>
        <w:spacing w:line="336" w:lineRule="auto"/>
        <w:ind w:firstLine="640" w:firstLineChars="200"/>
        <w:rPr>
          <w:rFonts w:ascii="黑体" w:hAnsi="黑体" w:eastAsia="黑体" w:cs="黑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发证机关接收和办理排队轮候业务，不得收取任何费用。</w:t>
      </w:r>
    </w:p>
    <w:p w14:paraId="5A579940">
      <w:pPr>
        <w:numPr>
          <w:ilvl w:val="2"/>
          <w:numId w:val="4"/>
        </w:numPr>
        <w:adjustRightInd w:val="0"/>
        <w:snapToGrid w:val="0"/>
        <w:spacing w:line="336" w:lineRule="auto"/>
        <w:ind w:firstLine="68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本制度中按照年、月、日计算期间的，开始的当日不计入，自下一日开始计算。均以工作日计算，不含法定节假日。</w:t>
      </w:r>
    </w:p>
    <w:p w14:paraId="57DC4982">
      <w:pPr>
        <w:numPr>
          <w:ilvl w:val="2"/>
          <w:numId w:val="4"/>
        </w:numPr>
        <w:adjustRightInd w:val="0"/>
        <w:snapToGrid w:val="0"/>
        <w:spacing w:line="336" w:lineRule="auto"/>
        <w:ind w:firstLine="68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本制度由云南省元江哈尼族彝族傣族自治县烟草专卖局负责解释。</w:t>
      </w:r>
    </w:p>
    <w:p w14:paraId="754BE1E8">
      <w:pPr>
        <w:numPr>
          <w:ilvl w:val="2"/>
          <w:numId w:val="4"/>
        </w:numPr>
        <w:adjustRightInd w:val="0"/>
        <w:snapToGrid w:val="0"/>
        <w:spacing w:line="336" w:lineRule="auto"/>
        <w:ind w:firstLine="680"/>
        <w:rPr>
          <w:rFonts w:ascii="楷体" w:hAnsi="楷体" w:eastAsia="楷体" w:cs="楷体"/>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本制度自《云南省元江哈尼族彝族傣族自治县烟草制品零售点合理布局规划》实施之日起同时施行。</w:t>
      </w:r>
    </w:p>
    <w:p w14:paraId="6E537A87">
      <w:pPr>
        <w:adjustRightInd w:val="0"/>
        <w:snapToGrid w:val="0"/>
        <w:spacing w:line="336" w:lineRule="auto"/>
        <w:ind w:left="402" w:firstLine="640" w:firstLineChars="200"/>
        <w:rPr>
          <w:rFonts w:ascii="仿宋_GB2312" w:hAnsi="仿宋_GB2312" w:eastAsia="仿宋_GB2312" w:cs="仿宋_GB2312"/>
          <w:color w:val="000000" w:themeColor="text1"/>
          <w:sz w:val="32"/>
          <w:szCs w:val="32"/>
          <w14:textFill>
            <w14:solidFill>
              <w14:schemeClr w14:val="tx1"/>
            </w14:solidFill>
          </w14:textFill>
        </w:rPr>
      </w:pPr>
    </w:p>
    <w:p w14:paraId="63FD9B55">
      <w:pPr>
        <w:adjustRightInd w:val="0"/>
        <w:snapToGrid w:val="0"/>
        <w:spacing w:line="336" w:lineRule="auto"/>
        <w:ind w:left="402"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附表：云南省元江哈尼族彝族傣族自治县烟草制品零售点排队轮候申请表</w:t>
      </w:r>
    </w:p>
    <w:p w14:paraId="1A2AAF98">
      <w:pPr>
        <w:widowControl/>
        <w:jc w:val="left"/>
        <w:rPr>
          <w:rFonts w:ascii="黑体" w:hAnsi="黑体" w:eastAsia="黑体" w:cs="黑体"/>
          <w:color w:val="000000" w:themeColor="text1"/>
          <w:sz w:val="32"/>
          <w:szCs w:val="32"/>
          <w14:textFill>
            <w14:solidFill>
              <w14:schemeClr w14:val="tx1"/>
            </w14:solidFill>
          </w14:textFill>
        </w:rPr>
      </w:pPr>
      <w:r>
        <w:rPr>
          <w:rFonts w:ascii="黑体" w:hAnsi="黑体" w:eastAsia="黑体" w:cs="黑体"/>
          <w:color w:val="000000" w:themeColor="text1"/>
          <w:sz w:val="32"/>
          <w:szCs w:val="32"/>
          <w14:textFill>
            <w14:solidFill>
              <w14:schemeClr w14:val="tx1"/>
            </w14:solidFill>
          </w14:textFill>
        </w:rPr>
        <w:br w:type="page"/>
      </w:r>
    </w:p>
    <w:p w14:paraId="7A5645DD">
      <w:pPr>
        <w:spacing w:line="360" w:lineRule="auto"/>
        <w:rPr>
          <w:rFonts w:ascii="黑体" w:hAnsi="黑体" w:eastAsia="黑体" w:cs="黑体"/>
          <w:color w:val="000000" w:themeColor="text1"/>
          <w:sz w:val="44"/>
          <w:szCs w:val="44"/>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附表</w:t>
      </w:r>
    </w:p>
    <w:p w14:paraId="27D30B32">
      <w:pPr>
        <w:spacing w:line="360" w:lineRule="auto"/>
        <w:ind w:left="402"/>
        <w:jc w:val="center"/>
        <w:rPr>
          <w:rFonts w:hint="eastAsia"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14:textFill>
            <w14:solidFill>
              <w14:schemeClr w14:val="tx1"/>
            </w14:solidFill>
          </w14:textFill>
        </w:rPr>
        <w:t>云南省元江哈尼族彝族傣族自治县烟草制品零售点排队轮候申请表</w:t>
      </w:r>
    </w:p>
    <w:tbl>
      <w:tblPr>
        <w:tblStyle w:val="14"/>
        <w:tblW w:w="0" w:type="auto"/>
        <w:tblInd w:w="96" w:type="dxa"/>
        <w:tblLayout w:type="fixed"/>
        <w:tblCellMar>
          <w:top w:w="0" w:type="dxa"/>
          <w:left w:w="108" w:type="dxa"/>
          <w:bottom w:w="0" w:type="dxa"/>
          <w:right w:w="108" w:type="dxa"/>
        </w:tblCellMar>
      </w:tblPr>
      <w:tblGrid>
        <w:gridCol w:w="2422"/>
        <w:gridCol w:w="2283"/>
        <w:gridCol w:w="1543"/>
        <w:gridCol w:w="2178"/>
      </w:tblGrid>
      <w:tr w14:paraId="1DFFF867">
        <w:tblPrEx>
          <w:tblCellMar>
            <w:top w:w="0" w:type="dxa"/>
            <w:left w:w="108" w:type="dxa"/>
            <w:bottom w:w="0" w:type="dxa"/>
            <w:right w:w="108" w:type="dxa"/>
          </w:tblCellMar>
        </w:tblPrEx>
        <w:trPr>
          <w:trHeight w:val="464"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E65AE8">
            <w:pPr>
              <w:widowControl/>
              <w:jc w:val="center"/>
              <w:textAlignment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申请人基本信息</w:t>
            </w:r>
          </w:p>
        </w:tc>
      </w:tr>
      <w:tr w14:paraId="1EFA88AA">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E38704">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申请人姓名</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469DEA">
            <w:pPr>
              <w:jc w:val="center"/>
              <w:rPr>
                <w:rFonts w:ascii="宋体" w:hAnsi="宋体" w:cs="宋体"/>
                <w:color w:val="000000" w:themeColor="text1"/>
                <w:sz w:val="24"/>
                <w14:textFill>
                  <w14:solidFill>
                    <w14:schemeClr w14:val="tx1"/>
                  </w14:solidFill>
                </w14:textFill>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A6383">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申请日期</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AD7B0">
            <w:pPr>
              <w:jc w:val="center"/>
              <w:rPr>
                <w:rFonts w:ascii="宋体" w:hAnsi="宋体" w:cs="宋体"/>
                <w:color w:val="000000" w:themeColor="text1"/>
                <w:sz w:val="24"/>
                <w14:textFill>
                  <w14:solidFill>
                    <w14:schemeClr w14:val="tx1"/>
                  </w14:solidFill>
                </w14:textFill>
              </w:rPr>
            </w:pPr>
          </w:p>
        </w:tc>
      </w:tr>
      <w:tr w14:paraId="21F36751">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0D20F2">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身份证号码</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D02698">
            <w:pPr>
              <w:jc w:val="center"/>
              <w:rPr>
                <w:rFonts w:ascii="宋体" w:hAnsi="宋体" w:cs="宋体"/>
                <w:color w:val="000000" w:themeColor="text1"/>
                <w:sz w:val="24"/>
                <w14:textFill>
                  <w14:solidFill>
                    <w14:schemeClr w14:val="tx1"/>
                  </w14:solidFill>
                </w14:textFill>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05760D">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联系电话</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5AFB65">
            <w:pPr>
              <w:jc w:val="center"/>
              <w:rPr>
                <w:rFonts w:ascii="宋体" w:hAnsi="宋体" w:cs="宋体"/>
                <w:color w:val="000000" w:themeColor="text1"/>
                <w:sz w:val="24"/>
                <w14:textFill>
                  <w14:solidFill>
                    <w14:schemeClr w14:val="tx1"/>
                  </w14:solidFill>
                </w14:textFill>
              </w:rPr>
            </w:pPr>
          </w:p>
        </w:tc>
      </w:tr>
      <w:tr w14:paraId="7676BFCE">
        <w:tblPrEx>
          <w:tblCellMar>
            <w:top w:w="0" w:type="dxa"/>
            <w:left w:w="108" w:type="dxa"/>
            <w:bottom w:w="0" w:type="dxa"/>
            <w:right w:w="108" w:type="dxa"/>
          </w:tblCellMar>
        </w:tblPrEx>
        <w:trPr>
          <w:trHeight w:val="559"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F1C8A">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归属街道</w:t>
            </w:r>
          </w:p>
        </w:tc>
        <w:tc>
          <w:tcPr>
            <w:tcW w:w="22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392EB5">
            <w:pPr>
              <w:jc w:val="center"/>
              <w:rPr>
                <w:rFonts w:ascii="宋体" w:hAnsi="宋体" w:cs="宋体"/>
                <w:color w:val="000000" w:themeColor="text1"/>
                <w:sz w:val="24"/>
                <w14:textFill>
                  <w14:solidFill>
                    <w14:schemeClr w14:val="tx1"/>
                  </w14:solidFill>
                </w14:textFill>
              </w:rPr>
            </w:pPr>
          </w:p>
        </w:tc>
        <w:tc>
          <w:tcPr>
            <w:tcW w:w="154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26B01C">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归属网格</w:t>
            </w:r>
          </w:p>
        </w:tc>
        <w:tc>
          <w:tcPr>
            <w:tcW w:w="217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071BD">
            <w:pPr>
              <w:jc w:val="center"/>
              <w:rPr>
                <w:rFonts w:ascii="宋体" w:hAnsi="宋体" w:cs="宋体"/>
                <w:color w:val="000000" w:themeColor="text1"/>
                <w:sz w:val="24"/>
                <w14:textFill>
                  <w14:solidFill>
                    <w14:schemeClr w14:val="tx1"/>
                  </w14:solidFill>
                </w14:textFill>
              </w:rPr>
            </w:pPr>
          </w:p>
        </w:tc>
      </w:tr>
      <w:tr w14:paraId="420CB735">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1A443">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经营场所详细地址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15FDFC">
            <w:pPr>
              <w:jc w:val="center"/>
              <w:rPr>
                <w:rFonts w:ascii="宋体" w:hAnsi="宋体" w:cs="宋体"/>
                <w:color w:val="000000" w:themeColor="text1"/>
                <w:sz w:val="24"/>
                <w14:textFill>
                  <w14:solidFill>
                    <w14:schemeClr w14:val="tx1"/>
                  </w14:solidFill>
                </w14:textFill>
              </w:rPr>
            </w:pPr>
          </w:p>
        </w:tc>
      </w:tr>
      <w:tr w14:paraId="4DC11ECA">
        <w:tblPrEx>
          <w:tblCellMar>
            <w:top w:w="0" w:type="dxa"/>
            <w:left w:w="108" w:type="dxa"/>
            <w:bottom w:w="0" w:type="dxa"/>
            <w:right w:w="108" w:type="dxa"/>
          </w:tblCellMar>
        </w:tblPrEx>
        <w:trPr>
          <w:trHeight w:val="495"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F289BE">
            <w:pPr>
              <w:widowControl/>
              <w:jc w:val="center"/>
              <w:textAlignment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营业执照基本信息</w:t>
            </w:r>
          </w:p>
        </w:tc>
      </w:tr>
      <w:tr w14:paraId="40626A6D">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B29358">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统一社会信用代码</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F48F77">
            <w:pPr>
              <w:jc w:val="center"/>
              <w:rPr>
                <w:rFonts w:ascii="宋体" w:hAnsi="宋体" w:cs="宋体"/>
                <w:color w:val="000000" w:themeColor="text1"/>
                <w:sz w:val="24"/>
                <w14:textFill>
                  <w14:solidFill>
                    <w14:schemeClr w14:val="tx1"/>
                  </w14:solidFill>
                </w14:textFill>
              </w:rPr>
            </w:pPr>
          </w:p>
        </w:tc>
      </w:tr>
      <w:tr w14:paraId="298D3CB6">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65AF88">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企业名称</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331FAC">
            <w:pPr>
              <w:jc w:val="center"/>
              <w:rPr>
                <w:rFonts w:ascii="宋体" w:hAnsi="宋体" w:cs="宋体"/>
                <w:color w:val="000000" w:themeColor="text1"/>
                <w:sz w:val="24"/>
                <w14:textFill>
                  <w14:solidFill>
                    <w14:schemeClr w14:val="tx1"/>
                  </w14:solidFill>
                </w14:textFill>
              </w:rPr>
            </w:pPr>
          </w:p>
        </w:tc>
      </w:tr>
      <w:tr w14:paraId="55DB7999">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62750">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企业类型</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0F19E9">
            <w:pPr>
              <w:jc w:val="center"/>
              <w:rPr>
                <w:rFonts w:ascii="宋体" w:hAnsi="宋体" w:cs="宋体"/>
                <w:color w:val="000000" w:themeColor="text1"/>
                <w:sz w:val="24"/>
                <w14:textFill>
                  <w14:solidFill>
                    <w14:schemeClr w14:val="tx1"/>
                  </w14:solidFill>
                </w14:textFill>
              </w:rPr>
            </w:pPr>
          </w:p>
        </w:tc>
      </w:tr>
      <w:tr w14:paraId="210E803A">
        <w:tblPrEx>
          <w:tblCellMar>
            <w:top w:w="0" w:type="dxa"/>
            <w:left w:w="108" w:type="dxa"/>
            <w:bottom w:w="0" w:type="dxa"/>
            <w:right w:w="108" w:type="dxa"/>
          </w:tblCellMar>
        </w:tblPrEx>
        <w:trPr>
          <w:trHeight w:val="495"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B71E2">
            <w:pPr>
              <w:widowControl/>
              <w:jc w:val="center"/>
              <w:textAlignment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lang w:bidi="ar"/>
                <w14:textFill>
                  <w14:solidFill>
                    <w14:schemeClr w14:val="tx1"/>
                  </w14:solidFill>
                </w14:textFill>
              </w:rPr>
              <w:t>经营地址</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9967BB">
            <w:pPr>
              <w:jc w:val="center"/>
              <w:rPr>
                <w:rFonts w:ascii="宋体" w:hAnsi="宋体" w:cs="宋体"/>
                <w:color w:val="000000" w:themeColor="text1"/>
                <w:sz w:val="24"/>
                <w14:textFill>
                  <w14:solidFill>
                    <w14:schemeClr w14:val="tx1"/>
                  </w14:solidFill>
                </w14:textFill>
              </w:rPr>
            </w:pPr>
          </w:p>
        </w:tc>
      </w:tr>
      <w:tr w14:paraId="75A47703">
        <w:tblPrEx>
          <w:tblCellMar>
            <w:top w:w="0" w:type="dxa"/>
            <w:left w:w="108" w:type="dxa"/>
            <w:bottom w:w="0" w:type="dxa"/>
            <w:right w:w="108" w:type="dxa"/>
          </w:tblCellMar>
        </w:tblPrEx>
        <w:trPr>
          <w:trHeight w:val="2400" w:hRule="atLeast"/>
        </w:trPr>
        <w:tc>
          <w:tcPr>
            <w:tcW w:w="8426"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2E0319A0">
            <w:pPr>
              <w:widowControl/>
              <w:jc w:val="left"/>
              <w:textAlignment w:val="center"/>
              <w:rPr>
                <w:rStyle w:val="26"/>
                <w:rFonts w:hint="default"/>
                <w:color w:val="000000" w:themeColor="text1"/>
                <w:lang w:bidi="ar"/>
                <w14:textFill>
                  <w14:solidFill>
                    <w14:schemeClr w14:val="tx1"/>
                  </w14:solidFill>
                </w14:textFill>
              </w:rPr>
            </w:pPr>
            <w:r>
              <w:rPr>
                <w:rStyle w:val="26"/>
                <w:rFonts w:hint="default"/>
                <w:color w:val="000000" w:themeColor="text1"/>
                <w:lang w:bidi="ar"/>
                <w14:textFill>
                  <w14:solidFill>
                    <w14:schemeClr w14:val="tx1"/>
                  </w14:solidFill>
                </w14:textFill>
              </w:rPr>
              <w:t>申请人承诺：</w:t>
            </w:r>
          </w:p>
          <w:p w14:paraId="724CDFFA">
            <w:pPr>
              <w:widowControl/>
              <w:ind w:firstLine="480" w:firstLineChars="200"/>
              <w:jc w:val="left"/>
              <w:textAlignment w:val="center"/>
              <w:rPr>
                <w:rStyle w:val="26"/>
                <w:rFonts w:hint="default"/>
                <w:b w:val="0"/>
                <w:bCs w:val="0"/>
                <w:color w:val="000000" w:themeColor="text1"/>
                <w:lang w:bidi="ar"/>
                <w14:textFill>
                  <w14:solidFill>
                    <w14:schemeClr w14:val="tx1"/>
                  </w14:solidFill>
                </w14:textFill>
              </w:rPr>
            </w:pPr>
            <w:r>
              <w:rPr>
                <w:rStyle w:val="26"/>
                <w:rFonts w:hint="default"/>
                <w:b w:val="0"/>
                <w:bCs w:val="0"/>
                <w:color w:val="000000" w:themeColor="text1"/>
                <w:lang w:bidi="ar"/>
                <w14:textFill>
                  <w14:solidFill>
                    <w14:schemeClr w14:val="tx1"/>
                  </w14:solidFill>
                </w14:textFill>
              </w:rPr>
              <w:t>1.以上信息经申请人核对，确认无误。申请人所提交的信息以及文件、证件、有关材料全部真实有效，复印件与原件一致。如申请人在申请过程中存在弄虚作假、欺骗等行为的，申请人愿意承担由此引起的一切法律责任；</w:t>
            </w:r>
          </w:p>
          <w:p w14:paraId="1E216840">
            <w:pPr>
              <w:widowControl/>
              <w:ind w:firstLine="480" w:firstLineChars="200"/>
              <w:jc w:val="left"/>
              <w:textAlignment w:val="center"/>
              <w:rPr>
                <w:rStyle w:val="26"/>
                <w:rFonts w:hint="default"/>
                <w:b w:val="0"/>
                <w:bCs w:val="0"/>
                <w:color w:val="000000" w:themeColor="text1"/>
                <w:lang w:bidi="ar"/>
                <w14:textFill>
                  <w14:solidFill>
                    <w14:schemeClr w14:val="tx1"/>
                  </w14:solidFill>
                </w14:textFill>
              </w:rPr>
            </w:pPr>
            <w:r>
              <w:rPr>
                <w:rStyle w:val="26"/>
                <w:rFonts w:hint="default"/>
                <w:b w:val="0"/>
                <w:bCs w:val="0"/>
                <w:color w:val="000000" w:themeColor="text1"/>
                <w:lang w:bidi="ar"/>
                <w14:textFill>
                  <w14:solidFill>
                    <w14:schemeClr w14:val="tx1"/>
                  </w14:solidFill>
                </w14:textFill>
              </w:rPr>
              <w:t>2.申请人所提交的预登记信息确保与到号办理时提交的办证信息一致，若不一致的，申请人应重新登记轮候；</w:t>
            </w:r>
          </w:p>
          <w:p w14:paraId="5D313E5F">
            <w:pPr>
              <w:widowControl/>
              <w:ind w:firstLine="480" w:firstLineChars="200"/>
              <w:jc w:val="left"/>
              <w:textAlignment w:val="center"/>
              <w:rPr>
                <w:rStyle w:val="26"/>
                <w:rFonts w:hint="default"/>
                <w:b w:val="0"/>
                <w:bCs w:val="0"/>
                <w:color w:val="000000" w:themeColor="text1"/>
                <w:lang w:bidi="ar"/>
                <w14:textFill>
                  <w14:solidFill>
                    <w14:schemeClr w14:val="tx1"/>
                  </w14:solidFill>
                </w14:textFill>
              </w:rPr>
            </w:pPr>
            <w:r>
              <w:rPr>
                <w:rStyle w:val="26"/>
                <w:rFonts w:hint="default"/>
                <w:b w:val="0"/>
                <w:bCs w:val="0"/>
                <w:color w:val="000000" w:themeColor="text1"/>
                <w:lang w:bidi="ar"/>
                <w14:textFill>
                  <w14:solidFill>
                    <w14:schemeClr w14:val="tx1"/>
                  </w14:solidFill>
                </w14:textFill>
              </w:rPr>
              <w:t>3.申请人应当在收到办理通知之日起三日内提交办证申请材料，逾期未提交的，视同申请人自愿放弃本次排队轮候；因申请人填报地址、联系方式等不正确，导致发证机关在三个工作日内无法与申请人取得联系的，视同申请人自愿放弃本次排队轮候。申请人自愿放弃本次排队轮候的，本机关公示三日后，由下一位申请人递补办理。</w:t>
            </w:r>
          </w:p>
          <w:p w14:paraId="3F5BFDE9">
            <w:pPr>
              <w:widowControl/>
              <w:ind w:firstLine="482" w:firstLineChars="200"/>
              <w:jc w:val="left"/>
              <w:textAlignment w:val="center"/>
              <w:rPr>
                <w:rFonts w:ascii="宋体" w:hAnsi="宋体" w:cs="宋体"/>
                <w:b/>
                <w:bCs/>
                <w:color w:val="000000" w:themeColor="text1"/>
                <w:sz w:val="24"/>
                <w14:textFill>
                  <w14:solidFill>
                    <w14:schemeClr w14:val="tx1"/>
                  </w14:solidFill>
                </w14:textFill>
              </w:rPr>
            </w:pPr>
            <w:r>
              <w:rPr>
                <w:rStyle w:val="26"/>
                <w:rFonts w:hint="default"/>
                <w:color w:val="000000" w:themeColor="text1"/>
                <w:lang w:bidi="ar"/>
                <w14:textFill>
                  <w14:solidFill>
                    <w14:schemeClr w14:val="tx1"/>
                  </w14:solidFill>
                </w14:textFill>
              </w:rPr>
              <w:t>申请人或代理人（签名或印章）：</w:t>
            </w:r>
            <w:r>
              <w:rPr>
                <w:rStyle w:val="27"/>
                <w:rFonts w:hint="default"/>
                <w:color w:val="000000" w:themeColor="text1"/>
                <w:lang w:bidi="ar"/>
                <w14:textFill>
                  <w14:solidFill>
                    <w14:schemeClr w14:val="tx1"/>
                  </w14:solidFill>
                </w14:textFill>
              </w:rPr>
              <w:t xml:space="preserve">        </w:t>
            </w:r>
            <w:r>
              <w:rPr>
                <w:rStyle w:val="26"/>
                <w:rFonts w:hint="default"/>
                <w:color w:val="000000" w:themeColor="text1"/>
                <w:lang w:bidi="ar"/>
                <w14:textFill>
                  <w14:solidFill>
                    <w14:schemeClr w14:val="tx1"/>
                  </w14:solidFill>
                </w14:textFill>
              </w:rPr>
              <w:t xml:space="preserve">                                                                         </w:t>
            </w:r>
          </w:p>
        </w:tc>
      </w:tr>
      <w:tr w14:paraId="1EC4CA4D">
        <w:tblPrEx>
          <w:tblCellMar>
            <w:top w:w="0" w:type="dxa"/>
            <w:left w:w="108" w:type="dxa"/>
            <w:bottom w:w="0" w:type="dxa"/>
            <w:right w:w="108" w:type="dxa"/>
          </w:tblCellMar>
        </w:tblPrEx>
        <w:trPr>
          <w:trHeight w:val="1166" w:hRule="atLeast"/>
        </w:trPr>
        <w:tc>
          <w:tcPr>
            <w:tcW w:w="2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DFB922">
            <w:pPr>
              <w:widowControl/>
              <w:jc w:val="center"/>
              <w:textAlignment w:val="center"/>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lang w:bidi="ar"/>
                <w14:textFill>
                  <w14:solidFill>
                    <w14:schemeClr w14:val="tx1"/>
                  </w14:solidFill>
                </w14:textFill>
              </w:rPr>
              <w:t>排队轮候顺序号</w:t>
            </w:r>
          </w:p>
        </w:tc>
        <w:tc>
          <w:tcPr>
            <w:tcW w:w="60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8B3DC26">
            <w:pPr>
              <w:jc w:val="center"/>
              <w:rPr>
                <w:rFonts w:ascii="宋体" w:hAnsi="宋体" w:cs="宋体"/>
                <w:b/>
                <w:bCs/>
                <w:color w:val="000000" w:themeColor="text1"/>
                <w:sz w:val="24"/>
                <w14:textFill>
                  <w14:solidFill>
                    <w14:schemeClr w14:val="tx1"/>
                  </w14:solidFill>
                </w14:textFill>
              </w:rPr>
            </w:pPr>
          </w:p>
        </w:tc>
      </w:tr>
    </w:tbl>
    <w:p w14:paraId="0707DC12">
      <w:pPr>
        <w:spacing w:line="360" w:lineRule="auto"/>
        <w:ind w:left="402"/>
        <w:rPr>
          <w:rFonts w:ascii="方正小标宋简体" w:hAnsi="方正小标宋简体" w:eastAsia="方正小标宋简体" w:cs="方正小标宋简体"/>
          <w:color w:val="000000" w:themeColor="text1"/>
          <w:sz w:val="44"/>
          <w:szCs w:val="44"/>
          <w14:textFill>
            <w14:solidFill>
              <w14:schemeClr w14:val="tx1"/>
            </w14:solidFill>
          </w14:textFill>
        </w:rPr>
      </w:pPr>
    </w:p>
    <w:p w14:paraId="7157DDA8">
      <w:pPr>
        <w:pStyle w:val="13"/>
        <w:rPr>
          <w:rFonts w:hint="eastAsia"/>
          <w:color w:val="000000" w:themeColor="text1"/>
          <w:lang w:val="en-US" w:eastAsia="zh-CN"/>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2A6F0E6-A0C7-406D-92CC-343B05AE7922}"/>
  </w:font>
  <w:font w:name="黑体">
    <w:panose1 w:val="02010609060101010101"/>
    <w:charset w:val="86"/>
    <w:family w:val="auto"/>
    <w:pitch w:val="default"/>
    <w:sig w:usb0="800002BF" w:usb1="38CF7CFA" w:usb2="00000016" w:usb3="00000000" w:csb0="00040001" w:csb1="00000000"/>
    <w:embedRegular r:id="rId2" w:fontKey="{EE69CC3C-66B3-400F-ACD9-C16375F1793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embedRegular r:id="rId3" w:fontKey="{9D0453FE-43D4-4488-B14A-D811F823B3BD}"/>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方正小标宋_GBK">
    <w:panose1 w:val="02000000000000000000"/>
    <w:charset w:val="86"/>
    <w:family w:val="auto"/>
    <w:pitch w:val="default"/>
    <w:sig w:usb0="A00002BF" w:usb1="38CF7CFA" w:usb2="00082016" w:usb3="00000000" w:csb0="00040001" w:csb1="00000000"/>
    <w:embedRegular r:id="rId4" w:fontKey="{2F0614F2-1F8A-42BE-93E8-A32EB1EB5192}"/>
  </w:font>
  <w:font w:name="仿宋_GB2312">
    <w:panose1 w:val="02010609030101010101"/>
    <w:charset w:val="86"/>
    <w:family w:val="modern"/>
    <w:pitch w:val="default"/>
    <w:sig w:usb0="00000001" w:usb1="080E0000" w:usb2="00000000" w:usb3="00000000" w:csb0="00040000" w:csb1="00000000"/>
    <w:embedRegular r:id="rId5" w:fontKey="{714CC392-4C14-4CDE-811F-17E47C5A8B7A}"/>
  </w:font>
  <w:font w:name="楷体">
    <w:panose1 w:val="02010609060101010101"/>
    <w:charset w:val="86"/>
    <w:family w:val="modern"/>
    <w:pitch w:val="default"/>
    <w:sig w:usb0="800002BF" w:usb1="38CF7CFA" w:usb2="00000016" w:usb3="00000000" w:csb0="00040001" w:csb1="00000000"/>
    <w:embedRegular r:id="rId6" w:fontKey="{BA254D56-0764-44C9-8169-0B42CC51B42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0F58D">
    <w:pPr>
      <w:pStyle w:val="7"/>
    </w:pPr>
    <w:r>
      <mc:AlternateContent>
        <mc:Choice Requires="wps">
          <w:drawing>
            <wp:anchor distT="0" distB="0" distL="114300" distR="114300" simplePos="0" relativeHeight="251659264" behindDoc="0" locked="0" layoutInCell="1" allowOverlap="1">
              <wp:simplePos x="0" y="0"/>
              <wp:positionH relativeFrom="margin">
                <wp:posOffset>4654550</wp:posOffset>
              </wp:positionH>
              <wp:positionV relativeFrom="paragraph">
                <wp:posOffset>-68580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8C3293">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366.5pt;margin-top:-5.4pt;height:144pt;width:144pt;mso-position-horizontal-relative:margin;mso-wrap-style:none;z-index:251659264;mso-width-relative:page;mso-height-relative:page;" filled="f" stroked="f" coordsize="21600,21600" o:gfxdata="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E2EdvjYAAAADAEAAA8AAAAAAAAAAQAgAAAAIgAAAGRycy9kb3ducmV2LnhtbFBLAQIU&#10;ABQAAAAIAIdO4kCvY9gwLAIAAFUEAAAOAAAAAAAAAAEAIAAAACcBAABkcnMvZTJvRG9jLnhtbFBL&#10;BQYAAAAABgAGAFkBAADFBQAAAAA=&#10;">
              <v:fill on="f" focussize="0,0"/>
              <v:stroke on="f" weight="0.5pt"/>
              <v:imagedata o:title=""/>
              <o:lock v:ext="edit" aspectratio="f"/>
              <v:textbox inset="0mm,0mm,0mm,0mm" style="mso-fit-shape-to-text:t;">
                <w:txbxContent>
                  <w:p w14:paraId="208C3293">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F65B3">
    <w:pPr>
      <w:pStyle w:val="7"/>
    </w:pPr>
    <w:r>
      <mc:AlternateContent>
        <mc:Choice Requires="wps">
          <w:drawing>
            <wp:anchor distT="0" distB="0" distL="114300" distR="114300" simplePos="0" relativeHeight="251660288" behindDoc="0" locked="0" layoutInCell="1" allowOverlap="1">
              <wp:simplePos x="0" y="0"/>
              <wp:positionH relativeFrom="margin">
                <wp:posOffset>6350</wp:posOffset>
              </wp:positionH>
              <wp:positionV relativeFrom="paragraph">
                <wp:posOffset>-83820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6C21A">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5pt;margin-top:-6.6pt;height:144pt;width:144pt;mso-position-horizontal-relative:margin;mso-wrap-style:none;z-index:251660288;mso-width-relative:page;mso-height-relative:page;" filled="f" stroked="f" coordsize="21600,21600" o:gfxdata="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wnN1c9YAAAAJAQAADwAAAAAAAAABACAAAAAiAAAAZHJzL2Rvd25yZXYueG1sUEsBAhQAFAAA&#10;AAgAh07iQCbVWnMqAgAAVQQAAA4AAAAAAAAAAQAgAAAAJQEAAGRycy9lMm9Eb2MueG1sUEsFBgAA&#10;AAAGAAYAWQEAAMEFAAAAAA==&#10;">
              <v:fill on="f" focussize="0,0"/>
              <v:stroke on="f" weight="0.5pt"/>
              <v:imagedata o:title=""/>
              <o:lock v:ext="edit" aspectratio="f"/>
              <v:textbox inset="0mm,0mm,0mm,0mm" style="mso-fit-shape-to-text:t;">
                <w:txbxContent>
                  <w:p w14:paraId="5696C21A">
                    <w:pPr>
                      <w:pStyle w:val="7"/>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2</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1753F6"/>
    <w:multiLevelType w:val="multilevel"/>
    <w:tmpl w:val="ED1753F6"/>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1">
    <w:nsid w:val="F7FCD2BF"/>
    <w:multiLevelType w:val="multilevel"/>
    <w:tmpl w:val="F7FCD2B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2">
    <w:nsid w:val="00000000"/>
    <w:multiLevelType w:val="multilevel"/>
    <w:tmpl w:val="00000000"/>
    <w:lvl w:ilvl="0" w:tentative="0">
      <w:start w:val="1"/>
      <w:numFmt w:val="chineseCounting"/>
      <w:suff w:val="nothing"/>
      <w:lvlText w:val="第%1章 "/>
      <w:lvlJc w:val="left"/>
      <w:pPr>
        <w:ind w:left="0" w:firstLine="402"/>
      </w:pPr>
      <w:rPr>
        <w:rFonts w:hint="eastAsia" w:ascii="黑体" w:hAnsi="黑体" w:eastAsia="黑体" w:cs="黑体"/>
        <w:sz w:val="36"/>
        <w:szCs w:val="36"/>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00000001"/>
    <w:multiLevelType w:val="multilevel"/>
    <w:tmpl w:val="00000001"/>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50" w:firstLine="397"/>
      </w:pPr>
      <w:rPr>
        <w:rFonts w:hint="eastAsia" w:eastAsia="黑体"/>
        <w:color w:val="auto"/>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83261"/>
    <w:rsid w:val="063569BC"/>
    <w:rsid w:val="0F6344B0"/>
    <w:rsid w:val="10093E5F"/>
    <w:rsid w:val="171831E2"/>
    <w:rsid w:val="19BF10EA"/>
    <w:rsid w:val="23BC1915"/>
    <w:rsid w:val="25A847D7"/>
    <w:rsid w:val="26BB2B24"/>
    <w:rsid w:val="30B14195"/>
    <w:rsid w:val="395B159A"/>
    <w:rsid w:val="39E9150D"/>
    <w:rsid w:val="4859130E"/>
    <w:rsid w:val="49440C52"/>
    <w:rsid w:val="4B897A7A"/>
    <w:rsid w:val="4BAD780B"/>
    <w:rsid w:val="51E72D4E"/>
    <w:rsid w:val="52650107"/>
    <w:rsid w:val="582513F3"/>
    <w:rsid w:val="5C7A6246"/>
    <w:rsid w:val="5CEE0B0D"/>
    <w:rsid w:val="5DE870C6"/>
    <w:rsid w:val="60196D73"/>
    <w:rsid w:val="71897FF9"/>
    <w:rsid w:val="74E90E2A"/>
    <w:rsid w:val="753B6B6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line="576" w:lineRule="auto"/>
      <w:outlineLvl w:val="0"/>
    </w:pPr>
    <w:rPr>
      <w:b/>
      <w:kern w:val="44"/>
      <w:sz w:val="44"/>
    </w:rPr>
  </w:style>
  <w:style w:type="character" w:default="1" w:styleId="15">
    <w:name w:val="Default Paragraph Font"/>
    <w:qFormat/>
    <w:uiPriority w:val="1"/>
  </w:style>
  <w:style w:type="table" w:default="1" w:styleId="14">
    <w:name w:val="Normal Table"/>
    <w:qFormat/>
    <w:uiPriority w:val="99"/>
    <w:tblPr>
      <w:tblCellMar>
        <w:top w:w="0" w:type="dxa"/>
        <w:left w:w="108" w:type="dxa"/>
        <w:bottom w:w="0" w:type="dxa"/>
        <w:right w:w="108" w:type="dxa"/>
      </w:tblCellMar>
    </w:tblPr>
  </w:style>
  <w:style w:type="paragraph" w:styleId="3">
    <w:name w:val="annotation text"/>
    <w:basedOn w:val="1"/>
    <w:qFormat/>
    <w:uiPriority w:val="99"/>
    <w:pPr>
      <w:jc w:val="left"/>
    </w:pPr>
  </w:style>
  <w:style w:type="paragraph" w:styleId="4">
    <w:name w:val="Body Text"/>
    <w:basedOn w:val="1"/>
    <w:link w:val="19"/>
    <w:qFormat/>
    <w:uiPriority w:val="0"/>
    <w:pPr>
      <w:spacing w:after="120"/>
    </w:pPr>
  </w:style>
  <w:style w:type="paragraph" w:styleId="5">
    <w:name w:val="Body Text Indent"/>
    <w:basedOn w:val="1"/>
    <w:qFormat/>
    <w:uiPriority w:val="0"/>
    <w:pPr>
      <w:adjustRightInd w:val="0"/>
      <w:spacing w:line="360" w:lineRule="exact"/>
      <w:ind w:firstLine="420"/>
      <w:textAlignment w:val="baseline"/>
    </w:pPr>
    <w:rPr>
      <w:rFonts w:ascii="楷体_GB2312" w:eastAsia="楷体_GB2312"/>
      <w:sz w:val="24"/>
    </w:rPr>
  </w:style>
  <w:style w:type="paragraph" w:styleId="6">
    <w:name w:val="Balloon Text"/>
    <w:basedOn w:val="1"/>
    <w:link w:val="22"/>
    <w:qFormat/>
    <w:uiPriority w:val="99"/>
    <w:rPr>
      <w:sz w:val="18"/>
      <w:szCs w:val="18"/>
    </w:rPr>
  </w:style>
  <w:style w:type="paragraph" w:styleId="7">
    <w:name w:val="footer"/>
    <w:basedOn w:val="1"/>
    <w:link w:val="18"/>
    <w:qFormat/>
    <w:uiPriority w:val="99"/>
    <w:pPr>
      <w:tabs>
        <w:tab w:val="center" w:pos="4153"/>
        <w:tab w:val="right" w:pos="8306"/>
      </w:tabs>
      <w:snapToGrid w:val="0"/>
      <w:jc w:val="left"/>
    </w:pPr>
    <w:rPr>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1"/>
    <w:qFormat/>
    <w:uiPriority w:val="11"/>
    <w:pPr>
      <w:spacing w:before="240" w:after="240" w:line="312" w:lineRule="auto"/>
      <w:jc w:val="center"/>
      <w:outlineLvl w:val="1"/>
    </w:pPr>
    <w:rPr>
      <w:rFonts w:ascii="等线" w:hAnsi="等线" w:eastAsia="等线"/>
      <w:kern w:val="28"/>
      <w:sz w:val="40"/>
      <w:szCs w:val="40"/>
    </w:rPr>
  </w:style>
  <w:style w:type="paragraph" w:styleId="10">
    <w:name w:val="HTML Preformatted"/>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styleId="11">
    <w:name w:val="Normal (Web)"/>
    <w:basedOn w:val="1"/>
    <w:qFormat/>
    <w:uiPriority w:val="0"/>
    <w:pPr>
      <w:spacing w:beforeAutospacing="1" w:afterAutospacing="1"/>
      <w:jc w:val="left"/>
    </w:pPr>
    <w:rPr>
      <w:kern w:val="0"/>
      <w:sz w:val="24"/>
    </w:rPr>
  </w:style>
  <w:style w:type="paragraph" w:styleId="12">
    <w:name w:val="Title"/>
    <w:basedOn w:val="1"/>
    <w:next w:val="1"/>
    <w:link w:val="20"/>
    <w:qFormat/>
    <w:uiPriority w:val="10"/>
    <w:pPr>
      <w:spacing w:before="120" w:after="120"/>
      <w:jc w:val="center"/>
      <w:outlineLvl w:val="0"/>
    </w:pPr>
    <w:rPr>
      <w:rFonts w:ascii="方正小标宋简体" w:hAnsi="等线 Light" w:eastAsia="方正小标宋简体"/>
      <w:sz w:val="44"/>
      <w:szCs w:val="44"/>
    </w:rPr>
  </w:style>
  <w:style w:type="paragraph" w:styleId="13">
    <w:name w:val="Body Text First Indent 2"/>
    <w:basedOn w:val="5"/>
    <w:qFormat/>
    <w:uiPriority w:val="0"/>
    <w:pPr>
      <w:ind w:firstLine="200" w:firstLineChars="200"/>
    </w:pPr>
  </w:style>
  <w:style w:type="paragraph" w:customStyle="1" w:styleId="16">
    <w:name w:val="Default"/>
    <w:qFormat/>
    <w:uiPriority w:val="0"/>
    <w:pPr>
      <w:widowControl w:val="0"/>
      <w:autoSpaceDE w:val="0"/>
      <w:autoSpaceDN w:val="0"/>
      <w:adjustRightInd w:val="0"/>
    </w:pPr>
    <w:rPr>
      <w:rFonts w:ascii="宋体" w:hAnsi="Times New Roman" w:eastAsia="Times New Roman" w:cs="宋体"/>
      <w:color w:val="000000"/>
      <w:sz w:val="24"/>
      <w:szCs w:val="24"/>
      <w:lang w:val="en-US" w:eastAsia="zh-CN" w:bidi="ar-SA"/>
    </w:rPr>
  </w:style>
  <w:style w:type="character" w:customStyle="1" w:styleId="17">
    <w:name w:val="页眉 字符"/>
    <w:basedOn w:val="15"/>
    <w:link w:val="8"/>
    <w:qFormat/>
    <w:uiPriority w:val="0"/>
    <w:rPr>
      <w:sz w:val="18"/>
      <w:szCs w:val="18"/>
    </w:rPr>
  </w:style>
  <w:style w:type="character" w:customStyle="1" w:styleId="18">
    <w:name w:val="页脚 字符"/>
    <w:basedOn w:val="15"/>
    <w:link w:val="7"/>
    <w:qFormat/>
    <w:uiPriority w:val="99"/>
    <w:rPr>
      <w:sz w:val="18"/>
      <w:szCs w:val="18"/>
    </w:rPr>
  </w:style>
  <w:style w:type="character" w:customStyle="1" w:styleId="19">
    <w:name w:val="正文文本 字符"/>
    <w:basedOn w:val="15"/>
    <w:link w:val="4"/>
    <w:qFormat/>
    <w:uiPriority w:val="0"/>
    <w:rPr>
      <w:rFonts w:ascii="Times New Roman" w:hAnsi="Times New Roman" w:eastAsia="宋体" w:cs="Times New Roman"/>
      <w:szCs w:val="24"/>
    </w:rPr>
  </w:style>
  <w:style w:type="character" w:customStyle="1" w:styleId="20">
    <w:name w:val="标题 字符"/>
    <w:basedOn w:val="15"/>
    <w:link w:val="12"/>
    <w:qFormat/>
    <w:uiPriority w:val="10"/>
    <w:rPr>
      <w:rFonts w:ascii="方正小标宋简体" w:hAnsi="等线 Light" w:eastAsia="方正小标宋简体" w:cs="Times New Roman"/>
      <w:sz w:val="44"/>
      <w:szCs w:val="44"/>
    </w:rPr>
  </w:style>
  <w:style w:type="character" w:customStyle="1" w:styleId="21">
    <w:name w:val="副标题 字符"/>
    <w:basedOn w:val="15"/>
    <w:link w:val="9"/>
    <w:qFormat/>
    <w:uiPriority w:val="11"/>
    <w:rPr>
      <w:rFonts w:ascii="等线" w:hAnsi="等线" w:eastAsia="等线" w:cs="Times New Roman"/>
      <w:kern w:val="28"/>
      <w:sz w:val="40"/>
      <w:szCs w:val="40"/>
    </w:rPr>
  </w:style>
  <w:style w:type="character" w:customStyle="1" w:styleId="22">
    <w:name w:val="批注框文本 字符"/>
    <w:basedOn w:val="15"/>
    <w:link w:val="6"/>
    <w:qFormat/>
    <w:uiPriority w:val="99"/>
    <w:rPr>
      <w:rFonts w:ascii="Times New Roman" w:hAnsi="Times New Roman" w:eastAsia="宋体" w:cs="Times New Roman"/>
      <w:sz w:val="18"/>
      <w:szCs w:val="18"/>
    </w:rPr>
  </w:style>
  <w:style w:type="paragraph" w:styleId="23">
    <w:name w:val="List Paragraph"/>
    <w:basedOn w:val="1"/>
    <w:qFormat/>
    <w:uiPriority w:val="34"/>
    <w:pPr>
      <w:ind w:firstLine="420" w:firstLineChars="200"/>
    </w:pPr>
  </w:style>
  <w:style w:type="table" w:customStyle="1" w:styleId="24">
    <w:name w:val="Table Normal"/>
    <w:qFormat/>
    <w:uiPriority w:val="0"/>
    <w:rPr>
      <w:rFonts w:ascii="Arial" w:hAnsi="Arial" w:eastAsia="宋体" w:cs="Arial"/>
      <w:snapToGrid w:val="0"/>
      <w:color w:val="000000"/>
      <w:sz w:val="21"/>
      <w:szCs w:val="21"/>
      <w:lang w:eastAsia="en-US"/>
    </w:rPr>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2"/>
      <w:szCs w:val="22"/>
      <w:lang w:val="en-US" w:eastAsia="en-US" w:bidi="ar-SA"/>
    </w:rPr>
  </w:style>
  <w:style w:type="character" w:customStyle="1" w:styleId="26">
    <w:name w:val="font11"/>
    <w:basedOn w:val="15"/>
    <w:autoRedefine/>
    <w:qFormat/>
    <w:uiPriority w:val="0"/>
    <w:rPr>
      <w:rFonts w:hint="eastAsia" w:ascii="宋体" w:hAnsi="宋体" w:eastAsia="宋体" w:cs="宋体"/>
      <w:b/>
      <w:bCs/>
      <w:color w:val="000000"/>
      <w:sz w:val="24"/>
      <w:szCs w:val="24"/>
      <w:u w:val="none"/>
    </w:rPr>
  </w:style>
  <w:style w:type="character" w:customStyle="1" w:styleId="27">
    <w:name w:val="font21"/>
    <w:basedOn w:val="15"/>
    <w:autoRedefine/>
    <w:qFormat/>
    <w:uiPriority w:val="0"/>
    <w:rPr>
      <w:rFonts w:hint="eastAsia" w:ascii="宋体" w:hAnsi="宋体" w:eastAsia="宋体" w:cs="宋体"/>
      <w:b/>
      <w:bCs/>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0.pn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pn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32</Pages>
  <Words>7237</Words>
  <Characters>7479</Characters>
  <Paragraphs>97</Paragraphs>
  <TotalTime>7</TotalTime>
  <ScaleCrop>false</ScaleCrop>
  <LinksUpToDate>false</LinksUpToDate>
  <CharactersWithSpaces>7637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2023-12-10T03:27:00Z</dcterms:created>
  <dc:creator>Windows 用户</dc:creator>
  <cp:lastModifiedBy>daoyehuan252x</cp:lastModifiedBy>
  <cp:lastPrinted>2025-08-06T02:21:00Z</cp:lastPrinted>
  <dcterms:modified xsi:type="dcterms:W3CDTF">2026-08-13T08:20:15Z</dcterms:modified>
  <cp:revision>393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0C6C1426357644B7958E0F82B15E6C28_13</vt:lpwstr>
  </property>
  <property fmtid="{D5CDD505-2E9C-101B-9397-08002B2CF9AE}" pid="4" name="KSOTemplateDocerSaveRecord">
    <vt:lpwstr>eyJoZGlkIjoiZjBhZTAwZjVmM2RiNDZlN2VlY2YzZDA4NDY3NzlmODkiLCJ1c2VySWQiOiIyNTE0MzU5ODcifQ==</vt:lpwstr>
  </property>
</Properties>
</file>