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673"/>
        <w:tblOverlap w:val="never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20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一级目录</w:t>
            </w:r>
          </w:p>
        </w:tc>
        <w:tc>
          <w:tcPr>
            <w:tcW w:w="2520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二级目录</w:t>
            </w:r>
          </w:p>
        </w:tc>
        <w:tc>
          <w:tcPr>
            <w:tcW w:w="4905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机构职能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机构职责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乡综合管理办公室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乡领导信息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乡综合管理办公室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政策法规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各站所涉及的</w:t>
            </w:r>
            <w:r>
              <w:rPr>
                <w:rFonts w:hint="eastAsia" w:ascii="宋体" w:hAnsi="宋体"/>
                <w:szCs w:val="21"/>
              </w:rPr>
              <w:t>法律行政法规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部门规章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地方性法规和规章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政策解读</w:t>
            </w:r>
          </w:p>
        </w:tc>
        <w:tc>
          <w:tcPr>
            <w:tcW w:w="490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涉及相关站所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发展规划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那诺乡中长期发展规划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规划办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行政执法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执法情况通报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涉及相关站所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党建廉政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党建、廉政工作信息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党建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其他信息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公共信息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乡综合管理办、涉及相关站所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工作动态</w:t>
            </w:r>
          </w:p>
        </w:tc>
        <w:tc>
          <w:tcPr>
            <w:tcW w:w="49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乡综合管理办、涉及相关站所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那诺乡政务信息公开目录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85"/>
    <w:rsid w:val="00CB1785"/>
    <w:rsid w:val="662F2FCE"/>
    <w:rsid w:val="6F951C1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2018-01-15T06:44:00Z</dcterms:created>
  <dc:creator>黑先生</dc:creator>
  <cp:lastModifiedBy>Administrator</cp:lastModifiedBy>
  <dcterms:modified xsi:type="dcterms:W3CDTF">2019-12-12T07:31:44Z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